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91A" w:rsidRDefault="00177696">
      <w:pPr>
        <w:jc w:val="center"/>
      </w:pPr>
      <w:r>
        <w:rPr>
          <w:rFonts w:ascii="Times New Roman" w:eastAsia="Times New Roman" w:hAnsi="Times New Roman" w:cs="Times New Roman"/>
          <w:sz w:val="32"/>
          <w:szCs w:val="32"/>
        </w:rPr>
        <w:t xml:space="preserve">The Potential Impact of FASB’s Proposed Changes </w:t>
      </w:r>
      <w:r>
        <w:rPr>
          <w:rFonts w:ascii="Times New Roman" w:eastAsia="Times New Roman" w:hAnsi="Times New Roman" w:cs="Times New Roman"/>
          <w:sz w:val="32"/>
          <w:szCs w:val="32"/>
        </w:rPr>
        <w:br/>
        <w:t>to the Statement of Cash Flows</w:t>
      </w:r>
    </w:p>
    <w:p w:rsidR="00E0091A" w:rsidRDefault="00E0091A">
      <w:pPr>
        <w:jc w:val="center"/>
      </w:pPr>
    </w:p>
    <w:p w:rsidR="00E0091A" w:rsidRPr="00B706EA" w:rsidRDefault="00177696">
      <w:pPr>
        <w:jc w:val="center"/>
        <w:rPr>
          <w:rFonts w:ascii="Times New Roman" w:hAnsi="Times New Roman" w:cs="Times New Roman"/>
          <w:sz w:val="20"/>
          <w:szCs w:val="20"/>
        </w:rPr>
      </w:pPr>
      <w:r w:rsidRPr="00B706EA">
        <w:rPr>
          <w:rFonts w:ascii="Times New Roman" w:eastAsia="Times New Roman" w:hAnsi="Times New Roman" w:cs="Times New Roman"/>
          <w:b/>
          <w:sz w:val="20"/>
          <w:szCs w:val="20"/>
          <w:highlight w:val="white"/>
        </w:rPr>
        <w:t>Roberta Cable, Patricia Healy and Claudia Li, Pace University, Pleasantville, NY</w:t>
      </w:r>
    </w:p>
    <w:p w:rsidR="00E0091A" w:rsidRPr="00B706EA" w:rsidRDefault="00E0091A">
      <w:pPr>
        <w:jc w:val="center"/>
        <w:rPr>
          <w:rFonts w:ascii="Times New Roman" w:hAnsi="Times New Roman" w:cs="Times New Roman"/>
          <w:sz w:val="20"/>
          <w:szCs w:val="20"/>
        </w:rPr>
      </w:pPr>
    </w:p>
    <w:p w:rsidR="00E0091A" w:rsidRPr="00B706EA" w:rsidRDefault="00177696">
      <w:pPr>
        <w:jc w:val="center"/>
        <w:rPr>
          <w:rFonts w:ascii="Times New Roman" w:hAnsi="Times New Roman" w:cs="Times New Roman"/>
          <w:sz w:val="20"/>
          <w:szCs w:val="20"/>
        </w:rPr>
      </w:pPr>
      <w:r w:rsidRPr="00B706EA">
        <w:rPr>
          <w:rFonts w:ascii="Times New Roman" w:eastAsia="Times New Roman" w:hAnsi="Times New Roman" w:cs="Times New Roman"/>
          <w:b/>
          <w:sz w:val="20"/>
          <w:szCs w:val="20"/>
        </w:rPr>
        <w:t>ABSTRACT</w:t>
      </w:r>
    </w:p>
    <w:p w:rsidR="00E0091A" w:rsidRPr="00B706EA" w:rsidRDefault="00E0091A">
      <w:pPr>
        <w:jc w:val="center"/>
        <w:rPr>
          <w:rFonts w:ascii="Times New Roman" w:hAnsi="Times New Roman" w:cs="Times New Roman"/>
          <w:sz w:val="20"/>
          <w:szCs w:val="20"/>
        </w:rPr>
      </w:pPr>
    </w:p>
    <w:p w:rsidR="00E0091A" w:rsidRPr="00B706EA" w:rsidRDefault="00EA0067">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This research studies</w:t>
      </w:r>
      <w:r w:rsidR="00E2011A">
        <w:rPr>
          <w:rFonts w:ascii="Times New Roman" w:eastAsia="Times New Roman" w:hAnsi="Times New Roman" w:cs="Times New Roman"/>
          <w:sz w:val="20"/>
          <w:szCs w:val="20"/>
        </w:rPr>
        <w:t xml:space="preserve"> the impact</w:t>
      </w:r>
      <w:r w:rsidR="00177696" w:rsidRPr="00B706EA">
        <w:rPr>
          <w:rFonts w:ascii="Times New Roman" w:eastAsia="Times New Roman" w:hAnsi="Times New Roman" w:cs="Times New Roman"/>
          <w:sz w:val="20"/>
          <w:szCs w:val="20"/>
        </w:rPr>
        <w:t xml:space="preserve"> of FASB’s proposed changes to the Statement of Cas</w:t>
      </w:r>
      <w:r w:rsidR="004230D1">
        <w:rPr>
          <w:rFonts w:ascii="Times New Roman" w:eastAsia="Times New Roman" w:hAnsi="Times New Roman" w:cs="Times New Roman"/>
          <w:sz w:val="20"/>
          <w:szCs w:val="20"/>
        </w:rPr>
        <w:t>h Flows on</w:t>
      </w:r>
      <w:r w:rsidR="00177696" w:rsidRPr="00B706EA">
        <w:rPr>
          <w:rFonts w:ascii="Times New Roman" w:eastAsia="Times New Roman" w:hAnsi="Times New Roman" w:cs="Times New Roman"/>
          <w:sz w:val="20"/>
          <w:szCs w:val="20"/>
        </w:rPr>
        <w:t xml:space="preserve"> not-for-pr</w:t>
      </w:r>
      <w:r w:rsidR="00D15D34">
        <w:rPr>
          <w:rFonts w:ascii="Times New Roman" w:eastAsia="Times New Roman" w:hAnsi="Times New Roman" w:cs="Times New Roman"/>
          <w:sz w:val="20"/>
          <w:szCs w:val="20"/>
        </w:rPr>
        <w:t>ofit organizations. Our study</w:t>
      </w:r>
      <w:r>
        <w:rPr>
          <w:rFonts w:ascii="Times New Roman" w:eastAsia="Times New Roman" w:hAnsi="Times New Roman" w:cs="Times New Roman"/>
          <w:sz w:val="20"/>
          <w:szCs w:val="20"/>
        </w:rPr>
        <w:t xml:space="preserve"> focuses</w:t>
      </w:r>
      <w:r w:rsidR="00177696" w:rsidRPr="00B706EA">
        <w:rPr>
          <w:rFonts w:ascii="Times New Roman" w:eastAsia="Times New Roman" w:hAnsi="Times New Roman" w:cs="Times New Roman"/>
          <w:sz w:val="20"/>
          <w:szCs w:val="20"/>
        </w:rPr>
        <w:t xml:space="preserve"> on the change in the classification of purchases and sal</w:t>
      </w:r>
      <w:r w:rsidR="00CC3316">
        <w:rPr>
          <w:rFonts w:ascii="Times New Roman" w:eastAsia="Times New Roman" w:hAnsi="Times New Roman" w:cs="Times New Roman"/>
          <w:sz w:val="20"/>
          <w:szCs w:val="20"/>
        </w:rPr>
        <w:t xml:space="preserve">es of long-lived assets </w:t>
      </w:r>
      <w:r w:rsidR="00E2011A">
        <w:rPr>
          <w:rFonts w:ascii="Times New Roman" w:eastAsia="Times New Roman" w:hAnsi="Times New Roman" w:cs="Times New Roman"/>
          <w:sz w:val="20"/>
          <w:szCs w:val="20"/>
        </w:rPr>
        <w:t>to</w:t>
      </w:r>
      <w:r w:rsidR="00177696" w:rsidRPr="00B706EA">
        <w:rPr>
          <w:rFonts w:ascii="Times New Roman" w:eastAsia="Times New Roman" w:hAnsi="Times New Roman" w:cs="Times New Roman"/>
          <w:sz w:val="20"/>
          <w:szCs w:val="20"/>
        </w:rPr>
        <w:t xml:space="preserve"> </w:t>
      </w:r>
      <w:r w:rsidR="00E2011A">
        <w:rPr>
          <w:rFonts w:ascii="Times New Roman" w:eastAsia="Times New Roman" w:hAnsi="Times New Roman" w:cs="Times New Roman"/>
          <w:sz w:val="20"/>
          <w:szCs w:val="20"/>
        </w:rPr>
        <w:t>operating activities from</w:t>
      </w:r>
      <w:r w:rsidR="00177696" w:rsidRPr="00B706EA">
        <w:rPr>
          <w:rFonts w:ascii="Times New Roman" w:eastAsia="Times New Roman" w:hAnsi="Times New Roman" w:cs="Times New Roman"/>
          <w:sz w:val="20"/>
          <w:szCs w:val="20"/>
        </w:rPr>
        <w:t xml:space="preserve"> investing activities.  </w:t>
      </w:r>
      <w:r>
        <w:rPr>
          <w:rFonts w:ascii="Times New Roman" w:eastAsia="Times New Roman" w:hAnsi="Times New Roman" w:cs="Times New Roman"/>
          <w:sz w:val="20"/>
          <w:szCs w:val="20"/>
        </w:rPr>
        <w:t>It examines</w:t>
      </w:r>
      <w:r w:rsidR="00E2011A">
        <w:rPr>
          <w:rFonts w:ascii="Times New Roman" w:eastAsia="Times New Roman" w:hAnsi="Times New Roman" w:cs="Times New Roman"/>
          <w:sz w:val="20"/>
          <w:szCs w:val="20"/>
        </w:rPr>
        <w:t xml:space="preserve"> the potential effect</w:t>
      </w:r>
      <w:r w:rsidR="00177696" w:rsidRPr="00B706EA">
        <w:rPr>
          <w:rFonts w:ascii="Times New Roman" w:eastAsia="Times New Roman" w:hAnsi="Times New Roman" w:cs="Times New Roman"/>
          <w:sz w:val="20"/>
          <w:szCs w:val="20"/>
        </w:rPr>
        <w:t xml:space="preserve"> of this change on the cash flow from operating activities for two different types of not-for profit entities, charities and hospi</w:t>
      </w:r>
      <w:r w:rsidR="00D15D34">
        <w:rPr>
          <w:rFonts w:ascii="Times New Roman" w:eastAsia="Times New Roman" w:hAnsi="Times New Roman" w:cs="Times New Roman"/>
          <w:sz w:val="20"/>
          <w:szCs w:val="20"/>
        </w:rPr>
        <w:t>tals.  Our result shows that this</w:t>
      </w:r>
      <w:r w:rsidR="004A1579">
        <w:rPr>
          <w:rFonts w:ascii="Times New Roman" w:eastAsia="Times New Roman" w:hAnsi="Times New Roman" w:cs="Times New Roman"/>
          <w:sz w:val="20"/>
          <w:szCs w:val="20"/>
        </w:rPr>
        <w:t xml:space="preserve"> reclassification </w:t>
      </w:r>
      <w:r w:rsidR="00CC3316">
        <w:rPr>
          <w:rFonts w:ascii="Times New Roman" w:eastAsia="Times New Roman" w:hAnsi="Times New Roman" w:cs="Times New Roman"/>
          <w:sz w:val="20"/>
          <w:szCs w:val="20"/>
        </w:rPr>
        <w:t>affect</w:t>
      </w:r>
      <w:r w:rsidR="004A1579">
        <w:rPr>
          <w:rFonts w:ascii="Times New Roman" w:eastAsia="Times New Roman" w:hAnsi="Times New Roman" w:cs="Times New Roman"/>
          <w:sz w:val="20"/>
          <w:szCs w:val="20"/>
        </w:rPr>
        <w:t>s</w:t>
      </w:r>
      <w:r w:rsidR="00CC3316">
        <w:rPr>
          <w:rFonts w:ascii="Times New Roman" w:eastAsia="Times New Roman" w:hAnsi="Times New Roman" w:cs="Times New Roman"/>
          <w:sz w:val="20"/>
          <w:szCs w:val="20"/>
        </w:rPr>
        <w:t xml:space="preserve"> different types of not-for-</w:t>
      </w:r>
      <w:r w:rsidR="00177696" w:rsidRPr="00B706EA">
        <w:rPr>
          <w:rFonts w:ascii="Times New Roman" w:eastAsia="Times New Roman" w:hAnsi="Times New Roman" w:cs="Times New Roman"/>
          <w:sz w:val="20"/>
          <w:szCs w:val="20"/>
        </w:rPr>
        <w:t xml:space="preserve">profit organizations differently.  </w:t>
      </w:r>
      <w:r w:rsidR="00D15D34">
        <w:rPr>
          <w:rFonts w:ascii="Times New Roman" w:eastAsia="Times New Roman" w:hAnsi="Times New Roman" w:cs="Times New Roman"/>
          <w:sz w:val="20"/>
          <w:szCs w:val="20"/>
        </w:rPr>
        <w:t>Specifically, h</w:t>
      </w:r>
      <w:r w:rsidR="00177696" w:rsidRPr="00B706EA">
        <w:rPr>
          <w:rFonts w:ascii="Times New Roman" w:eastAsia="Times New Roman" w:hAnsi="Times New Roman" w:cs="Times New Roman"/>
          <w:sz w:val="20"/>
          <w:szCs w:val="20"/>
        </w:rPr>
        <w:t>ospitals, representing the kind of not-for-profit</w:t>
      </w:r>
      <w:r w:rsidR="00E2011A">
        <w:rPr>
          <w:rFonts w:ascii="Times New Roman" w:eastAsia="Times New Roman" w:hAnsi="Times New Roman" w:cs="Times New Roman"/>
          <w:sz w:val="20"/>
          <w:szCs w:val="20"/>
        </w:rPr>
        <w:t>s</w:t>
      </w:r>
      <w:r w:rsidR="00177696" w:rsidRPr="00B706EA">
        <w:rPr>
          <w:rFonts w:ascii="Times New Roman" w:eastAsia="Times New Roman" w:hAnsi="Times New Roman" w:cs="Times New Roman"/>
          <w:sz w:val="20"/>
          <w:szCs w:val="20"/>
        </w:rPr>
        <w:t xml:space="preserve"> that receive the majority of its revenues f</w:t>
      </w:r>
      <w:r w:rsidR="003F6039">
        <w:rPr>
          <w:rFonts w:ascii="Times New Roman" w:eastAsia="Times New Roman" w:hAnsi="Times New Roman" w:cs="Times New Roman"/>
          <w:sz w:val="20"/>
          <w:szCs w:val="20"/>
        </w:rPr>
        <w:t xml:space="preserve">rom private payments, </w:t>
      </w:r>
      <w:r w:rsidR="00177696" w:rsidRPr="00B706EA">
        <w:rPr>
          <w:rFonts w:ascii="Times New Roman" w:eastAsia="Times New Roman" w:hAnsi="Times New Roman" w:cs="Times New Roman"/>
          <w:sz w:val="20"/>
          <w:szCs w:val="20"/>
        </w:rPr>
        <w:t xml:space="preserve">incurred a significantly larger impact on cash flows from operating activities than did charities, representing the kind of nonprofits that receives the majority of its revenues from donations. Our study provides insights not only </w:t>
      </w:r>
      <w:r w:rsidR="003F6039">
        <w:rPr>
          <w:rFonts w:ascii="Times New Roman" w:eastAsia="Times New Roman" w:hAnsi="Times New Roman" w:cs="Times New Roman"/>
          <w:sz w:val="20"/>
          <w:szCs w:val="20"/>
        </w:rPr>
        <w:t xml:space="preserve">on </w:t>
      </w:r>
      <w:r w:rsidR="00E2011A">
        <w:rPr>
          <w:rFonts w:ascii="Times New Roman" w:eastAsia="Times New Roman" w:hAnsi="Times New Roman" w:cs="Times New Roman"/>
          <w:sz w:val="20"/>
          <w:szCs w:val="20"/>
        </w:rPr>
        <w:t>not-for-profit, but importantly, on</w:t>
      </w:r>
      <w:r w:rsidR="00177696" w:rsidRPr="00B706EA">
        <w:rPr>
          <w:rFonts w:ascii="Times New Roman" w:eastAsia="Times New Roman" w:hAnsi="Times New Roman" w:cs="Times New Roman"/>
          <w:sz w:val="20"/>
          <w:szCs w:val="20"/>
        </w:rPr>
        <w:t xml:space="preserve"> </w:t>
      </w:r>
      <w:r w:rsidR="00E2011A">
        <w:rPr>
          <w:rFonts w:ascii="Times New Roman" w:eastAsia="Times New Roman" w:hAnsi="Times New Roman" w:cs="Times New Roman"/>
          <w:sz w:val="20"/>
          <w:szCs w:val="20"/>
        </w:rPr>
        <w:t xml:space="preserve">for-profit entities about </w:t>
      </w:r>
      <w:r w:rsidR="00884E3A">
        <w:rPr>
          <w:rFonts w:ascii="Times New Roman" w:eastAsia="Times New Roman" w:hAnsi="Times New Roman" w:cs="Times New Roman"/>
          <w:sz w:val="20"/>
          <w:szCs w:val="20"/>
        </w:rPr>
        <w:t>the possible</w:t>
      </w:r>
      <w:r w:rsidR="00D06313">
        <w:rPr>
          <w:rFonts w:ascii="Times New Roman" w:eastAsia="Times New Roman" w:hAnsi="Times New Roman" w:cs="Times New Roman"/>
          <w:sz w:val="20"/>
          <w:szCs w:val="20"/>
        </w:rPr>
        <w:t xml:space="preserve"> effects of </w:t>
      </w:r>
      <w:r w:rsidR="00884E3A">
        <w:rPr>
          <w:rFonts w:ascii="Times New Roman" w:eastAsia="Times New Roman" w:hAnsi="Times New Roman" w:cs="Times New Roman"/>
          <w:sz w:val="20"/>
          <w:szCs w:val="20"/>
        </w:rPr>
        <w:t xml:space="preserve">a </w:t>
      </w:r>
      <w:r w:rsidR="00D06313">
        <w:rPr>
          <w:rFonts w:ascii="Times New Roman" w:eastAsia="Times New Roman" w:hAnsi="Times New Roman" w:cs="Times New Roman"/>
          <w:sz w:val="20"/>
          <w:szCs w:val="20"/>
        </w:rPr>
        <w:t xml:space="preserve">future </w:t>
      </w:r>
      <w:r w:rsidR="00884E3A">
        <w:rPr>
          <w:rFonts w:ascii="Times New Roman" w:eastAsia="Times New Roman" w:hAnsi="Times New Roman" w:cs="Times New Roman"/>
          <w:sz w:val="20"/>
          <w:szCs w:val="20"/>
        </w:rPr>
        <w:t xml:space="preserve">FASB </w:t>
      </w:r>
      <w:r w:rsidR="004230D1">
        <w:rPr>
          <w:rFonts w:ascii="Times New Roman" w:eastAsia="Times New Roman" w:hAnsi="Times New Roman" w:cs="Times New Roman"/>
          <w:sz w:val="20"/>
          <w:szCs w:val="20"/>
        </w:rPr>
        <w:t>proposal</w:t>
      </w:r>
      <w:r w:rsidR="00CC3316">
        <w:rPr>
          <w:rFonts w:ascii="Times New Roman" w:eastAsia="Times New Roman" w:hAnsi="Times New Roman" w:cs="Times New Roman"/>
          <w:sz w:val="20"/>
          <w:szCs w:val="20"/>
        </w:rPr>
        <w:t xml:space="preserve"> on</w:t>
      </w:r>
      <w:r w:rsidR="00177696" w:rsidRPr="00B706EA">
        <w:rPr>
          <w:rFonts w:ascii="Times New Roman" w:eastAsia="Times New Roman" w:hAnsi="Times New Roman" w:cs="Times New Roman"/>
          <w:sz w:val="20"/>
          <w:szCs w:val="20"/>
        </w:rPr>
        <w:t xml:space="preserve"> the Statement of Cash Flows.</w:t>
      </w:r>
    </w:p>
    <w:p w:rsidR="00E0091A" w:rsidRPr="00B706EA" w:rsidRDefault="00E0091A">
      <w:pPr>
        <w:ind w:firstLine="720"/>
        <w:jc w:val="both"/>
        <w:rPr>
          <w:rFonts w:ascii="Times New Roman" w:hAnsi="Times New Roman" w:cs="Times New Roman"/>
          <w:sz w:val="20"/>
          <w:szCs w:val="20"/>
        </w:rPr>
      </w:pPr>
    </w:p>
    <w:p w:rsidR="00E0091A" w:rsidRPr="00B706EA" w:rsidRDefault="00177696">
      <w:pPr>
        <w:jc w:val="both"/>
        <w:rPr>
          <w:rFonts w:ascii="Times New Roman" w:hAnsi="Times New Roman" w:cs="Times New Roman"/>
          <w:sz w:val="20"/>
          <w:szCs w:val="20"/>
        </w:rPr>
      </w:pPr>
      <w:r w:rsidRPr="00B706EA">
        <w:rPr>
          <w:rFonts w:ascii="Times New Roman" w:eastAsia="Times New Roman" w:hAnsi="Times New Roman" w:cs="Times New Roman"/>
          <w:b/>
          <w:sz w:val="20"/>
          <w:szCs w:val="20"/>
        </w:rPr>
        <w:t xml:space="preserve">Keywords: </w:t>
      </w:r>
      <w:r w:rsidR="00CC3316">
        <w:rPr>
          <w:rFonts w:ascii="Times New Roman" w:eastAsia="Times New Roman" w:hAnsi="Times New Roman" w:cs="Times New Roman"/>
          <w:sz w:val="20"/>
          <w:szCs w:val="20"/>
        </w:rPr>
        <w:t>Cash Flow Statements, FASB, Not-for-</w:t>
      </w:r>
      <w:r w:rsidRPr="00B706EA">
        <w:rPr>
          <w:rFonts w:ascii="Times New Roman" w:eastAsia="Times New Roman" w:hAnsi="Times New Roman" w:cs="Times New Roman"/>
          <w:sz w:val="20"/>
          <w:szCs w:val="20"/>
        </w:rPr>
        <w:t>profit Accounting,</w:t>
      </w:r>
    </w:p>
    <w:p w:rsidR="00E0091A" w:rsidRPr="00B706EA" w:rsidRDefault="00E0091A">
      <w:pPr>
        <w:jc w:val="both"/>
        <w:rPr>
          <w:rFonts w:ascii="Times New Roman" w:hAnsi="Times New Roman" w:cs="Times New Roman"/>
          <w:sz w:val="20"/>
          <w:szCs w:val="20"/>
        </w:rPr>
      </w:pPr>
    </w:p>
    <w:p w:rsidR="00E0091A" w:rsidRPr="00B706EA" w:rsidRDefault="00177696">
      <w:pPr>
        <w:jc w:val="center"/>
        <w:rPr>
          <w:rFonts w:ascii="Times New Roman" w:hAnsi="Times New Roman" w:cs="Times New Roman"/>
          <w:sz w:val="20"/>
          <w:szCs w:val="20"/>
        </w:rPr>
      </w:pPr>
      <w:r w:rsidRPr="00B706EA">
        <w:rPr>
          <w:rFonts w:ascii="Times New Roman" w:eastAsia="Times New Roman" w:hAnsi="Times New Roman" w:cs="Times New Roman"/>
          <w:b/>
          <w:sz w:val="20"/>
          <w:szCs w:val="20"/>
        </w:rPr>
        <w:t>INTRODUCTION</w:t>
      </w:r>
    </w:p>
    <w:p w:rsidR="00E0091A" w:rsidRPr="00B706EA" w:rsidRDefault="00E0091A">
      <w:pPr>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The Financial Accounting Standards Board (FASB) proposed major changes in the financial presentations of not-for-profits.  Working under their goals of improving the understandability and usefulness of financial statements, they issued the recent exposure draft, </w:t>
      </w:r>
      <w:r w:rsidRPr="00B706EA">
        <w:rPr>
          <w:rFonts w:ascii="Times New Roman" w:eastAsia="Times New Roman" w:hAnsi="Times New Roman" w:cs="Times New Roman"/>
          <w:i/>
          <w:sz w:val="20"/>
          <w:szCs w:val="20"/>
        </w:rPr>
        <w:t>Proposed Accounting Standards Update</w:t>
      </w:r>
      <w:r w:rsidRPr="00B706EA">
        <w:rPr>
          <w:rFonts w:ascii="Times New Roman" w:eastAsia="Times New Roman" w:hAnsi="Times New Roman" w:cs="Times New Roman"/>
          <w:sz w:val="20"/>
          <w:szCs w:val="20"/>
        </w:rPr>
        <w:t xml:space="preserve"> (2015).  A focus of this exposure draft was to change the presentation of financial statements for not-for-profit entities as required in the Statement of Financ</w:t>
      </w:r>
      <w:r w:rsidR="004230D1">
        <w:rPr>
          <w:rFonts w:ascii="Times New Roman" w:eastAsia="Times New Roman" w:hAnsi="Times New Roman" w:cs="Times New Roman"/>
          <w:sz w:val="20"/>
          <w:szCs w:val="20"/>
        </w:rPr>
        <w:t xml:space="preserve">ial Accounting Standards </w:t>
      </w:r>
      <w:r w:rsidRPr="00B706EA">
        <w:rPr>
          <w:rFonts w:ascii="Times New Roman" w:eastAsia="Times New Roman" w:hAnsi="Times New Roman" w:cs="Times New Roman"/>
          <w:sz w:val="20"/>
          <w:szCs w:val="20"/>
        </w:rPr>
        <w:t>No. 117.   Among other things, this proposal dealt with the Statement of Cash Flows, a mandatory part of issued financial reports detailing cash inflows and cash outflows during a reporting period.  Along with requiring only the direct method of reporting cash flows from operating activi</w:t>
      </w:r>
      <w:r w:rsidR="004A1579">
        <w:rPr>
          <w:rFonts w:ascii="Times New Roman" w:eastAsia="Times New Roman" w:hAnsi="Times New Roman" w:cs="Times New Roman"/>
          <w:sz w:val="20"/>
          <w:szCs w:val="20"/>
        </w:rPr>
        <w:t>ties, the FASB proposal required</w:t>
      </w:r>
      <w:r w:rsidRPr="00B706EA">
        <w:rPr>
          <w:rFonts w:ascii="Times New Roman" w:eastAsia="Times New Roman" w:hAnsi="Times New Roman" w:cs="Times New Roman"/>
          <w:sz w:val="20"/>
          <w:szCs w:val="20"/>
        </w:rPr>
        <w:t xml:space="preserve"> a change in classification of certain items within this statement.  Our research examined the change in classification of purchases and sales of long-lived assets as operating activities r</w:t>
      </w:r>
      <w:r w:rsidR="004230D1">
        <w:rPr>
          <w:rFonts w:ascii="Times New Roman" w:eastAsia="Times New Roman" w:hAnsi="Times New Roman" w:cs="Times New Roman"/>
          <w:sz w:val="20"/>
          <w:szCs w:val="20"/>
        </w:rPr>
        <w:t>ather than investing activities</w:t>
      </w:r>
      <w:r w:rsidRPr="00B706EA">
        <w:rPr>
          <w:rFonts w:ascii="Times New Roman" w:eastAsia="Times New Roman" w:hAnsi="Times New Roman" w:cs="Times New Roman"/>
          <w:sz w:val="20"/>
          <w:szCs w:val="20"/>
        </w:rPr>
        <w:t xml:space="preserve"> for two different types of not-for profit entities, charities and hospitals.  </w:t>
      </w:r>
    </w:p>
    <w:p w:rsidR="00E0091A" w:rsidRPr="00B706EA" w:rsidRDefault="00177696">
      <w:pPr>
        <w:jc w:val="both"/>
        <w:rPr>
          <w:rFonts w:ascii="Times New Roman" w:hAnsi="Times New Roman" w:cs="Times New Roman"/>
          <w:sz w:val="20"/>
          <w:szCs w:val="20"/>
        </w:rPr>
      </w:pPr>
      <w:r w:rsidRPr="00B706EA">
        <w:rPr>
          <w:rFonts w:ascii="Times New Roman" w:eastAsia="Times New Roman" w:hAnsi="Times New Roman" w:cs="Times New Roman"/>
          <w:sz w:val="20"/>
          <w:szCs w:val="20"/>
        </w:rPr>
        <w:tab/>
      </w:r>
    </w:p>
    <w:p w:rsidR="00E0091A" w:rsidRPr="00B706EA" w:rsidRDefault="00177696">
      <w:pPr>
        <w:rPr>
          <w:rFonts w:ascii="Times New Roman" w:hAnsi="Times New Roman" w:cs="Times New Roman"/>
          <w:sz w:val="20"/>
          <w:szCs w:val="20"/>
        </w:rPr>
      </w:pPr>
      <w:bookmarkStart w:id="0" w:name="h.gjdgxs" w:colFirst="0" w:colLast="0"/>
      <w:bookmarkEnd w:id="0"/>
      <w:r w:rsidRPr="00B706EA">
        <w:rPr>
          <w:rFonts w:ascii="Times New Roman" w:eastAsia="Times New Roman" w:hAnsi="Times New Roman" w:cs="Times New Roman"/>
          <w:b/>
          <w:sz w:val="20"/>
          <w:szCs w:val="20"/>
        </w:rPr>
        <w:t xml:space="preserve">The </w:t>
      </w:r>
      <w:r w:rsidR="004230D1">
        <w:rPr>
          <w:rFonts w:ascii="Times New Roman" w:eastAsia="Times New Roman" w:hAnsi="Times New Roman" w:cs="Times New Roman"/>
          <w:b/>
          <w:sz w:val="20"/>
          <w:szCs w:val="20"/>
        </w:rPr>
        <w:t xml:space="preserve">Statement of Cash Flows </w:t>
      </w:r>
      <w:r w:rsidRPr="00B706EA">
        <w:rPr>
          <w:rFonts w:ascii="Times New Roman" w:eastAsia="Times New Roman" w:hAnsi="Times New Roman" w:cs="Times New Roman"/>
          <w:b/>
          <w:sz w:val="20"/>
          <w:szCs w:val="20"/>
        </w:rPr>
        <w:t xml:space="preserve">Trichotomy (or three-part classification) </w:t>
      </w:r>
    </w:p>
    <w:p w:rsidR="00E0091A" w:rsidRPr="00B706EA" w:rsidRDefault="00E0091A">
      <w:pPr>
        <w:jc w:val="center"/>
        <w:rPr>
          <w:rFonts w:ascii="Times New Roman" w:hAnsi="Times New Roman" w:cs="Times New Roman"/>
          <w:sz w:val="20"/>
          <w:szCs w:val="20"/>
        </w:rPr>
      </w:pPr>
    </w:p>
    <w:p w:rsidR="00E0091A" w:rsidRPr="00B706EA" w:rsidRDefault="00177696">
      <w:pPr>
        <w:jc w:val="both"/>
        <w:rPr>
          <w:rFonts w:ascii="Times New Roman" w:hAnsi="Times New Roman" w:cs="Times New Roman"/>
          <w:sz w:val="20"/>
          <w:szCs w:val="20"/>
        </w:rPr>
      </w:pPr>
      <w:r w:rsidRPr="00B706EA">
        <w:rPr>
          <w:rFonts w:ascii="Times New Roman" w:eastAsia="Times New Roman" w:hAnsi="Times New Roman" w:cs="Times New Roman"/>
          <w:b/>
          <w:sz w:val="20"/>
          <w:szCs w:val="20"/>
        </w:rPr>
        <w:tab/>
      </w:r>
      <w:r w:rsidRPr="00B706EA">
        <w:rPr>
          <w:rFonts w:ascii="Times New Roman" w:eastAsia="Times New Roman" w:hAnsi="Times New Roman" w:cs="Times New Roman"/>
          <w:sz w:val="20"/>
          <w:szCs w:val="20"/>
        </w:rPr>
        <w:t>FASB’s Statement No. 95</w:t>
      </w:r>
      <w:r w:rsidR="003F6039">
        <w:rPr>
          <w:rFonts w:ascii="Times New Roman" w:eastAsia="Times New Roman" w:hAnsi="Times New Roman" w:cs="Times New Roman"/>
          <w:sz w:val="20"/>
          <w:szCs w:val="20"/>
        </w:rPr>
        <w:t xml:space="preserve"> (SFAS No. 95)</w:t>
      </w:r>
      <w:r w:rsidRPr="00B706EA">
        <w:rPr>
          <w:rFonts w:ascii="Times New Roman" w:eastAsia="Times New Roman" w:hAnsi="Times New Roman" w:cs="Times New Roman"/>
          <w:sz w:val="20"/>
          <w:szCs w:val="20"/>
        </w:rPr>
        <w:t>, Statem</w:t>
      </w:r>
      <w:r w:rsidR="003F6039">
        <w:rPr>
          <w:rFonts w:ascii="Times New Roman" w:eastAsia="Times New Roman" w:hAnsi="Times New Roman" w:cs="Times New Roman"/>
          <w:sz w:val="20"/>
          <w:szCs w:val="20"/>
        </w:rPr>
        <w:t>ent of Cash Flows (</w:t>
      </w:r>
      <w:r w:rsidRPr="00B706EA">
        <w:rPr>
          <w:rFonts w:ascii="Times New Roman" w:eastAsia="Times New Roman" w:hAnsi="Times New Roman" w:cs="Times New Roman"/>
          <w:sz w:val="20"/>
          <w:szCs w:val="20"/>
        </w:rPr>
        <w:t>1987) and Statement No. 117</w:t>
      </w:r>
      <w:r w:rsidR="003F6039">
        <w:rPr>
          <w:rFonts w:ascii="Times New Roman" w:eastAsia="Times New Roman" w:hAnsi="Times New Roman" w:cs="Times New Roman"/>
          <w:sz w:val="20"/>
          <w:szCs w:val="20"/>
        </w:rPr>
        <w:t xml:space="preserve"> (SFAS 117)</w:t>
      </w:r>
      <w:r w:rsidRPr="00B706EA">
        <w:rPr>
          <w:rFonts w:ascii="Times New Roman" w:eastAsia="Times New Roman" w:hAnsi="Times New Roman" w:cs="Times New Roman"/>
          <w:sz w:val="20"/>
          <w:szCs w:val="20"/>
        </w:rPr>
        <w:t xml:space="preserve"> Financial Statements of Not-for Prof</w:t>
      </w:r>
      <w:r w:rsidR="003F6039">
        <w:rPr>
          <w:rFonts w:ascii="Times New Roman" w:eastAsia="Times New Roman" w:hAnsi="Times New Roman" w:cs="Times New Roman"/>
          <w:sz w:val="20"/>
          <w:szCs w:val="20"/>
        </w:rPr>
        <w:t>it Organizations (1993) r</w:t>
      </w:r>
      <w:r w:rsidR="004230D1">
        <w:rPr>
          <w:rFonts w:ascii="Times New Roman" w:eastAsia="Times New Roman" w:hAnsi="Times New Roman" w:cs="Times New Roman"/>
          <w:sz w:val="20"/>
          <w:szCs w:val="20"/>
        </w:rPr>
        <w:t>equire for-</w:t>
      </w:r>
      <w:r w:rsidR="003F6039">
        <w:rPr>
          <w:rFonts w:ascii="Times New Roman" w:eastAsia="Times New Roman" w:hAnsi="Times New Roman" w:cs="Times New Roman"/>
          <w:sz w:val="20"/>
          <w:szCs w:val="20"/>
        </w:rPr>
        <w:t>profit</w:t>
      </w:r>
      <w:r w:rsidRPr="00B706EA">
        <w:rPr>
          <w:rFonts w:ascii="Times New Roman" w:eastAsia="Times New Roman" w:hAnsi="Times New Roman" w:cs="Times New Roman"/>
          <w:sz w:val="20"/>
          <w:szCs w:val="20"/>
        </w:rPr>
        <w:t xml:space="preserve"> and not-for-profit entities to provide a cash flow statement for each period for which operating results are required.  Similar requirements are applicable to enterprises following International Acc</w:t>
      </w:r>
      <w:r w:rsidR="004230D1">
        <w:rPr>
          <w:rFonts w:ascii="Times New Roman" w:eastAsia="Times New Roman" w:hAnsi="Times New Roman" w:cs="Times New Roman"/>
          <w:sz w:val="20"/>
          <w:szCs w:val="20"/>
        </w:rPr>
        <w:t>ounting Standards Board (IASB)</w:t>
      </w:r>
      <w:r w:rsidRPr="00B706EA">
        <w:rPr>
          <w:rFonts w:ascii="Times New Roman" w:eastAsia="Times New Roman" w:hAnsi="Times New Roman" w:cs="Times New Roman"/>
          <w:sz w:val="20"/>
          <w:szCs w:val="20"/>
        </w:rPr>
        <w:t xml:space="preserve"> Standard No. 7, </w:t>
      </w:r>
      <w:r w:rsidR="003F6039">
        <w:rPr>
          <w:rFonts w:ascii="Times New Roman" w:eastAsia="Times New Roman" w:hAnsi="Times New Roman" w:cs="Times New Roman"/>
          <w:sz w:val="20"/>
          <w:szCs w:val="20"/>
        </w:rPr>
        <w:t xml:space="preserve">(IAS No. 7) </w:t>
      </w:r>
      <w:r w:rsidRPr="00B706EA">
        <w:rPr>
          <w:rFonts w:ascii="Times New Roman" w:eastAsia="Times New Roman" w:hAnsi="Times New Roman" w:cs="Times New Roman"/>
          <w:sz w:val="20"/>
          <w:szCs w:val="20"/>
        </w:rPr>
        <w:t>Ca</w:t>
      </w:r>
      <w:r w:rsidR="003F6039">
        <w:rPr>
          <w:rFonts w:ascii="Times New Roman" w:eastAsia="Times New Roman" w:hAnsi="Times New Roman" w:cs="Times New Roman"/>
          <w:sz w:val="20"/>
          <w:szCs w:val="20"/>
        </w:rPr>
        <w:t>sh Flow Statements (</w:t>
      </w:r>
      <w:r w:rsidRPr="00B706EA">
        <w:rPr>
          <w:rFonts w:ascii="Times New Roman" w:eastAsia="Times New Roman" w:hAnsi="Times New Roman" w:cs="Times New Roman"/>
          <w:sz w:val="20"/>
          <w:szCs w:val="20"/>
        </w:rPr>
        <w:t>1992).  The cash flow statement explains the change during the period in cash and cash equivalents, and classifies inflows and outflows relating to operating, investing and financing activities.  While the objective of FASB is to provide accurate reporting metrics, many reporting issues persist that</w:t>
      </w:r>
      <w:r w:rsidR="00BD55CB">
        <w:rPr>
          <w:rFonts w:ascii="Times New Roman" w:eastAsia="Times New Roman" w:hAnsi="Times New Roman" w:cs="Times New Roman"/>
          <w:sz w:val="20"/>
          <w:szCs w:val="20"/>
        </w:rPr>
        <w:t xml:space="preserve"> cloud the transparency of the Statement of Cash F</w:t>
      </w:r>
      <w:r w:rsidRPr="00B706EA">
        <w:rPr>
          <w:rFonts w:ascii="Times New Roman" w:eastAsia="Times New Roman" w:hAnsi="Times New Roman" w:cs="Times New Roman"/>
          <w:sz w:val="20"/>
          <w:szCs w:val="20"/>
        </w:rPr>
        <w:t>lows.  Specifically, limitations arise from inconsistent, and sometimes, ambiguous implementation of the three-part classification of cash inflows and outflows.</w:t>
      </w:r>
    </w:p>
    <w:p w:rsidR="00E0091A" w:rsidRPr="00B706EA" w:rsidRDefault="00E0091A">
      <w:pPr>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Under SFAS No. 95, cash flows for business entities are classified in the cash flow statements under three activities:  operating, investing and financing.  SFAS No. 117 for not-for-profit entities also requires the same three activities.  For the most part, there are only slight differences between SFAS No. 117 and SFAS No. 95, relating to the classification of items as activities in this statement.  Alderman and Mueller </w:t>
      </w:r>
      <w:r w:rsidR="008E0166">
        <w:rPr>
          <w:rFonts w:ascii="Times New Roman" w:eastAsia="Times New Roman" w:hAnsi="Times New Roman" w:cs="Times New Roman"/>
          <w:sz w:val="20"/>
          <w:szCs w:val="20"/>
        </w:rPr>
        <w:t xml:space="preserve">(2003) </w:t>
      </w:r>
      <w:r w:rsidRPr="00B706EA">
        <w:rPr>
          <w:rFonts w:ascii="Times New Roman" w:eastAsia="Times New Roman" w:hAnsi="Times New Roman" w:cs="Times New Roman"/>
          <w:sz w:val="20"/>
          <w:szCs w:val="20"/>
        </w:rPr>
        <w:t xml:space="preserve">state that </w:t>
      </w:r>
      <w:r w:rsidRPr="00B706EA">
        <w:rPr>
          <w:rFonts w:ascii="Times New Roman" w:eastAsia="Times New Roman" w:hAnsi="Times New Roman" w:cs="Times New Roman"/>
          <w:sz w:val="20"/>
          <w:szCs w:val="20"/>
          <w:highlight w:val="white"/>
        </w:rPr>
        <w:t xml:space="preserve">SFAS No. 117 provides little guidance on reporting cash flows </w:t>
      </w:r>
      <w:r w:rsidR="008E0166">
        <w:rPr>
          <w:rFonts w:ascii="Times New Roman" w:eastAsia="Times New Roman" w:hAnsi="Times New Roman" w:cs="Times New Roman"/>
          <w:sz w:val="20"/>
          <w:szCs w:val="20"/>
          <w:highlight w:val="white"/>
        </w:rPr>
        <w:t>beyond that offered in SFAS 95</w:t>
      </w:r>
      <w:r w:rsidR="008E0166">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 xml:space="preserve"> One exception is that donor imposed restrictions may influence activit</w:t>
      </w:r>
      <w:r w:rsidR="004A1579">
        <w:rPr>
          <w:rFonts w:ascii="Times New Roman" w:eastAsia="Times New Roman" w:hAnsi="Times New Roman" w:cs="Times New Roman"/>
          <w:sz w:val="20"/>
          <w:szCs w:val="20"/>
        </w:rPr>
        <w:t>y classifications for not-for-profit entities</w:t>
      </w:r>
      <w:r w:rsidRPr="00B706EA">
        <w:rPr>
          <w:rFonts w:ascii="Times New Roman" w:eastAsia="Times New Roman" w:hAnsi="Times New Roman" w:cs="Times New Roman"/>
          <w:sz w:val="20"/>
          <w:szCs w:val="20"/>
        </w:rPr>
        <w:t>.</w:t>
      </w: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lastRenderedPageBreak/>
        <w:t>Operating activities</w:t>
      </w:r>
      <w:r w:rsidRPr="00B706EA">
        <w:rPr>
          <w:rFonts w:ascii="Times New Roman" w:eastAsia="Times New Roman" w:hAnsi="Times New Roman" w:cs="Times New Roman"/>
          <w:sz w:val="20"/>
          <w:szCs w:val="20"/>
        </w:rPr>
        <w:t xml:space="preserve"> include all transactions and events other than investing and financing activities.  These activities generally relate to producing and delivering goods and providing services.  Operating inflows include customer collections from the sales of goods and services, interest and dividend collections on debt and equity securities, and all other receipts not defined as investing and financing inflows.  Operating outflows include interest payments, payments for inventories, payments to employees, payments to suppliers of other goods and services, payments to settle asset retirement obligations, payments to governments for taxes (if applicable), duties, fines and other fees, and all other payments not defined as investing or financing outflows.</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The analysis of the operating activities section of the statement of cash flows is essential to assess the financial health of an enterprise.  Financial analysts use this section in several ways.  For example, net income under accrual accounting may be an unreliable indicator of quality as it is based on various estimates to determine both revenue and expenses.  When assessing quality, analysts are looking for cash flows from operating activities to be consistently greater than a compa</w:t>
      </w:r>
      <w:r w:rsidR="004A1579">
        <w:rPr>
          <w:rFonts w:ascii="Times New Roman" w:eastAsia="Times New Roman" w:hAnsi="Times New Roman" w:cs="Times New Roman"/>
          <w:sz w:val="20"/>
          <w:szCs w:val="20"/>
        </w:rPr>
        <w:t>ny’s net income.  Some analysts</w:t>
      </w:r>
      <w:r w:rsidRPr="00B706EA">
        <w:rPr>
          <w:rFonts w:ascii="Times New Roman" w:eastAsia="Times New Roman" w:hAnsi="Times New Roman" w:cs="Times New Roman"/>
          <w:sz w:val="20"/>
          <w:szCs w:val="20"/>
        </w:rPr>
        <w:t xml:space="preserve"> believe the focus on cash flow from operations rather than earnings provides a clearer picture of a company’s abilities to generate cash as it strips away the accounting assumptions built into </w:t>
      </w:r>
      <w:r w:rsidR="006F093B" w:rsidRPr="00B706EA">
        <w:rPr>
          <w:rFonts w:ascii="Times New Roman" w:eastAsia="Times New Roman" w:hAnsi="Times New Roman" w:cs="Times New Roman"/>
          <w:sz w:val="20"/>
          <w:szCs w:val="20"/>
        </w:rPr>
        <w:t>earnings. Furthermore</w:t>
      </w:r>
      <w:r w:rsidRPr="00B706EA">
        <w:rPr>
          <w:rFonts w:ascii="Times New Roman" w:eastAsia="Times New Roman" w:hAnsi="Times New Roman" w:cs="Times New Roman"/>
          <w:sz w:val="20"/>
          <w:szCs w:val="20"/>
        </w:rPr>
        <w:t>, analysts can determine if an entity has a positive cash flow coming from the company’s recurring activities, its operations.  An entity can have positive cash flow because of selling off assets or issuing stocks and bonds.  However, these activities are typically one-time gains in cash flow, and should not be considered an indicator of financial health.</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Also, a popular measure of financial performance, free cash flow, tells how much cash is left over from operations after capital expenditures.  It is computed by subtracting capital expenditures from cash flow provided by operating activities (although there may be variations in calculating this financial ratio).  Analysts focus on free cash flow because it tells them how much cash an entity has to pursue future opportunities.  Potential opportunities include developing new products or programs, making acquisitions, paying interest and dividends and reducing debt.  </w:t>
      </w:r>
    </w:p>
    <w:p w:rsidR="00E0091A" w:rsidRPr="00B706EA" w:rsidRDefault="00E0091A">
      <w:pPr>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Investing activities</w:t>
      </w:r>
      <w:r w:rsidRPr="00B706EA">
        <w:rPr>
          <w:rFonts w:ascii="Times New Roman" w:eastAsia="Times New Roman" w:hAnsi="Times New Roman" w:cs="Times New Roman"/>
          <w:sz w:val="20"/>
          <w:szCs w:val="20"/>
        </w:rPr>
        <w:t xml:space="preserve"> include the acquiring and disposing of plant assets, other productive assets, and financial investments, and making loans to and collecting loans from other entities.  Investing inflows include receipts from collecting or disposing of loans, receipts from sales of debt and equity instruments from other entities, and receipts from sales of plant assets and other productive assets.  Investing outflows include the payments to make or acquire loans, payments to acquire debt or equity securities of other entities, and payments to acquire plant and other productive assets.  A change in cash flow from the investing activities is the result of gains or losses from investments in the financial markets, and purchases and sales of capital assets, such as, plant and equipment. </w:t>
      </w:r>
    </w:p>
    <w:p w:rsidR="00E0091A" w:rsidRPr="00B706EA" w:rsidRDefault="00E0091A">
      <w:pPr>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Financing activities</w:t>
      </w:r>
      <w:r w:rsidRPr="00B706EA">
        <w:rPr>
          <w:rFonts w:ascii="Times New Roman" w:eastAsia="Times New Roman" w:hAnsi="Times New Roman" w:cs="Times New Roman"/>
          <w:sz w:val="20"/>
          <w:szCs w:val="20"/>
        </w:rPr>
        <w:t xml:space="preserve"> include obtaining resources from owners and providing them with a return on their investments, receiving resources that are donor restricted for long-term purposes, borrowing money and repaying the amounts borrowed, and obtaining and paying for other resources obtained from creditors for long-term credit.  Financing inflows include proceeds from issuing debt and equity securities, proceeds from contributions and investment income that are donor restricted for long-term purposes, and proceeds from other short- or long-term borrowing.  Financing outflows include dividend payments, outlays to reacquire or retire equity securities, repayment of amounts borrowed, and payments of debt issuance costs.  </w:t>
      </w:r>
      <w:r w:rsidR="00650659">
        <w:rPr>
          <w:rFonts w:ascii="Times New Roman" w:eastAsia="Times New Roman" w:hAnsi="Times New Roman" w:cs="Times New Roman"/>
          <w:sz w:val="20"/>
          <w:szCs w:val="20"/>
        </w:rPr>
        <w:t>Financing in</w:t>
      </w:r>
      <w:r w:rsidR="00E2011A">
        <w:rPr>
          <w:rFonts w:ascii="Times New Roman" w:eastAsia="Times New Roman" w:hAnsi="Times New Roman" w:cs="Times New Roman"/>
          <w:sz w:val="20"/>
          <w:szCs w:val="20"/>
        </w:rPr>
        <w:t xml:space="preserve">flows include </w:t>
      </w:r>
      <w:r w:rsidRPr="00B706EA">
        <w:rPr>
          <w:rFonts w:ascii="Times New Roman" w:eastAsia="Times New Roman" w:hAnsi="Times New Roman" w:cs="Times New Roman"/>
          <w:sz w:val="20"/>
          <w:szCs w:val="20"/>
        </w:rPr>
        <w:t>cash coming into an entity from creditor</w:t>
      </w:r>
      <w:r w:rsidR="00650659">
        <w:rPr>
          <w:rFonts w:ascii="Times New Roman" w:eastAsia="Times New Roman" w:hAnsi="Times New Roman" w:cs="Times New Roman"/>
          <w:sz w:val="20"/>
          <w:szCs w:val="20"/>
        </w:rPr>
        <w:t>s and stockholders.</w:t>
      </w:r>
    </w:p>
    <w:p w:rsidR="00E0091A" w:rsidRPr="00B706EA" w:rsidRDefault="00E0091A">
      <w:pPr>
        <w:ind w:firstLine="720"/>
        <w:rPr>
          <w:rFonts w:ascii="Times New Roman" w:hAnsi="Times New Roman" w:cs="Times New Roman"/>
          <w:sz w:val="20"/>
          <w:szCs w:val="20"/>
        </w:rPr>
      </w:pPr>
    </w:p>
    <w:p w:rsidR="00E0091A" w:rsidRPr="00B706EA" w:rsidRDefault="00177696">
      <w:pPr>
        <w:rPr>
          <w:rFonts w:ascii="Times New Roman" w:hAnsi="Times New Roman" w:cs="Times New Roman"/>
          <w:sz w:val="20"/>
          <w:szCs w:val="20"/>
        </w:rPr>
      </w:pPr>
      <w:r w:rsidRPr="00B706EA">
        <w:rPr>
          <w:rFonts w:ascii="Times New Roman" w:eastAsia="Times New Roman" w:hAnsi="Times New Roman" w:cs="Times New Roman"/>
          <w:b/>
          <w:sz w:val="20"/>
          <w:szCs w:val="20"/>
        </w:rPr>
        <w:t>Arbitrariness of the Cash Flow Trichotomy</w:t>
      </w: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SFAS No. 95 and SFAS No. 117 have many reporting issues due to their complexity and ambiguity.   As mentioned above, these statements require a company to report cash </w:t>
      </w:r>
      <w:r w:rsidR="00650659">
        <w:rPr>
          <w:rFonts w:ascii="Times New Roman" w:eastAsia="Times New Roman" w:hAnsi="Times New Roman" w:cs="Times New Roman"/>
          <w:sz w:val="20"/>
          <w:szCs w:val="20"/>
        </w:rPr>
        <w:t>flows in one of three categories</w:t>
      </w:r>
      <w:r w:rsidR="00AF1097">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 xml:space="preserve">operating, investing, or financing activities.  While most cash flow transactions can only be classified under one of the three categories, there are some that are less clear.  Nurnberg </w:t>
      </w:r>
      <w:r w:rsidR="008E0166">
        <w:rPr>
          <w:rFonts w:ascii="Times New Roman" w:eastAsia="Times New Roman" w:hAnsi="Times New Roman" w:cs="Times New Roman"/>
          <w:sz w:val="20"/>
          <w:szCs w:val="20"/>
        </w:rPr>
        <w:t xml:space="preserve"> (2009) </w:t>
      </w:r>
      <w:r w:rsidR="00AF1097">
        <w:rPr>
          <w:rFonts w:ascii="Times New Roman" w:eastAsia="Times New Roman" w:hAnsi="Times New Roman" w:cs="Times New Roman"/>
          <w:sz w:val="20"/>
          <w:szCs w:val="20"/>
        </w:rPr>
        <w:t>s</w:t>
      </w:r>
      <w:r w:rsidR="00BD55CB">
        <w:rPr>
          <w:rFonts w:ascii="Times New Roman" w:eastAsia="Times New Roman" w:hAnsi="Times New Roman" w:cs="Times New Roman"/>
          <w:sz w:val="20"/>
          <w:szCs w:val="20"/>
        </w:rPr>
        <w:t>aid</w:t>
      </w:r>
      <w:r w:rsidR="00AF1097">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 xml:space="preserve"> “A major problem with the SFAS-95 three-way classification of cash flow as operating, investing, and financing </w:t>
      </w:r>
      <w:r w:rsidR="008E0166">
        <w:rPr>
          <w:rFonts w:ascii="Times New Roman" w:eastAsia="Times New Roman" w:hAnsi="Times New Roman" w:cs="Times New Roman"/>
          <w:sz w:val="20"/>
          <w:szCs w:val="20"/>
        </w:rPr>
        <w:t xml:space="preserve">is its inherent arbitrariness” (page </w:t>
      </w:r>
      <w:r w:rsidRPr="00B706EA">
        <w:rPr>
          <w:rFonts w:ascii="Times New Roman" w:eastAsia="Times New Roman" w:hAnsi="Times New Roman" w:cs="Times New Roman"/>
          <w:sz w:val="20"/>
          <w:szCs w:val="20"/>
        </w:rPr>
        <w:t>32)</w:t>
      </w:r>
      <w:r w:rsidR="008E0166">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There have been numerous disagreements and discussions on how to reduce the ambiguity in SFAS No. 95 and SFAS No. 117.   Very little has been done to strengthen repor</w:t>
      </w:r>
      <w:r w:rsidR="008E0166">
        <w:rPr>
          <w:rFonts w:ascii="Times New Roman" w:eastAsia="Times New Roman" w:hAnsi="Times New Roman" w:cs="Times New Roman"/>
          <w:sz w:val="20"/>
          <w:szCs w:val="20"/>
        </w:rPr>
        <w:t>ting standards under SFAS No. 95,</w:t>
      </w:r>
      <w:r w:rsidRPr="00B706EA">
        <w:rPr>
          <w:rFonts w:ascii="Times New Roman" w:eastAsia="Times New Roman" w:hAnsi="Times New Roman" w:cs="Times New Roman"/>
          <w:sz w:val="20"/>
          <w:szCs w:val="20"/>
        </w:rPr>
        <w:t xml:space="preserve"> as many issues still exist.  The discussion below relates to some of the current arbitrariness of c</w:t>
      </w:r>
      <w:r w:rsidR="00AF1097">
        <w:rPr>
          <w:rFonts w:ascii="Times New Roman" w:eastAsia="Times New Roman" w:hAnsi="Times New Roman" w:cs="Times New Roman"/>
          <w:sz w:val="20"/>
          <w:szCs w:val="20"/>
        </w:rPr>
        <w:t>lassifications, relating to for-</w:t>
      </w:r>
      <w:r w:rsidRPr="00B706EA">
        <w:rPr>
          <w:rFonts w:ascii="Times New Roman" w:eastAsia="Times New Roman" w:hAnsi="Times New Roman" w:cs="Times New Roman"/>
          <w:sz w:val="20"/>
          <w:szCs w:val="20"/>
        </w:rPr>
        <w:t xml:space="preserve">profit, and in some cases, not-for-profit entities.  </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For example, SFAS No. 95 is unclear how dividends and interest outflows/inflows should be listed on the cash flow statement.  According to Bao and Romeo</w:t>
      </w:r>
      <w:r w:rsidR="008E0166">
        <w:rPr>
          <w:rFonts w:ascii="Times New Roman" w:eastAsia="Times New Roman" w:hAnsi="Times New Roman" w:cs="Times New Roman"/>
          <w:sz w:val="20"/>
          <w:szCs w:val="20"/>
        </w:rPr>
        <w:t xml:space="preserve"> (2012)</w:t>
      </w:r>
      <w:r w:rsidRPr="00B706EA">
        <w:rPr>
          <w:rFonts w:ascii="Times New Roman" w:eastAsia="Times New Roman" w:hAnsi="Times New Roman" w:cs="Times New Roman"/>
          <w:sz w:val="20"/>
          <w:szCs w:val="20"/>
        </w:rPr>
        <w:t>, an example of this is when dividend income derives from investments yet gets reported in the operating section of the cash fl</w:t>
      </w:r>
      <w:r w:rsidR="008E0166">
        <w:rPr>
          <w:rFonts w:ascii="Times New Roman" w:eastAsia="Times New Roman" w:hAnsi="Times New Roman" w:cs="Times New Roman"/>
          <w:sz w:val="20"/>
          <w:szCs w:val="20"/>
        </w:rPr>
        <w:t>ow statement</w:t>
      </w:r>
      <w:r w:rsidRPr="00B706EA">
        <w:rPr>
          <w:rFonts w:ascii="Times New Roman" w:eastAsia="Times New Roman" w:hAnsi="Times New Roman" w:cs="Times New Roman"/>
          <w:sz w:val="20"/>
          <w:szCs w:val="20"/>
        </w:rPr>
        <w:t>. Allowing dividends received only as part of the operating section in the cash flow statement could cause distortions while allowing entities to manipulate their numbers.  Another issue is how entities classify financing sources. According to Wampler, Smolinski, and Vines</w:t>
      </w:r>
      <w:r w:rsidR="008E0166">
        <w:rPr>
          <w:rFonts w:ascii="Times New Roman" w:eastAsia="Times New Roman" w:hAnsi="Times New Roman" w:cs="Times New Roman"/>
          <w:sz w:val="20"/>
          <w:szCs w:val="20"/>
        </w:rPr>
        <w:t xml:space="preserve"> (2009)</w:t>
      </w:r>
      <w:r w:rsidRPr="00B706EA">
        <w:rPr>
          <w:rFonts w:ascii="Times New Roman" w:eastAsia="Times New Roman" w:hAnsi="Times New Roman" w:cs="Times New Roman"/>
          <w:sz w:val="20"/>
          <w:szCs w:val="20"/>
        </w:rPr>
        <w:t>, if a company uses debt as a financing source, it can then classify the interest paid as an operating activity. However, a company that uses equity as a financing source treats paid div</w:t>
      </w:r>
      <w:r w:rsidR="00650659">
        <w:rPr>
          <w:rFonts w:ascii="Times New Roman" w:eastAsia="Times New Roman" w:hAnsi="Times New Roman" w:cs="Times New Roman"/>
          <w:sz w:val="20"/>
          <w:szCs w:val="20"/>
        </w:rPr>
        <w:t>idends as a financing activity</w:t>
      </w:r>
      <w:r w:rsidRPr="00B706EA">
        <w:rPr>
          <w:rFonts w:ascii="Times New Roman" w:eastAsia="Times New Roman" w:hAnsi="Times New Roman" w:cs="Times New Roman"/>
          <w:sz w:val="20"/>
          <w:szCs w:val="20"/>
        </w:rPr>
        <w:t xml:space="preserve">.  It should be noted that under IASB No. 7 (1992) dividend payments </w:t>
      </w:r>
      <w:r w:rsidR="00A5237A" w:rsidRPr="00B706EA">
        <w:rPr>
          <w:rFonts w:ascii="Times New Roman" w:eastAsia="Times New Roman" w:hAnsi="Times New Roman" w:cs="Times New Roman"/>
          <w:sz w:val="20"/>
          <w:szCs w:val="20"/>
        </w:rPr>
        <w:t>might</w:t>
      </w:r>
      <w:r w:rsidRPr="00B706EA">
        <w:rPr>
          <w:rFonts w:ascii="Times New Roman" w:eastAsia="Times New Roman" w:hAnsi="Times New Roman" w:cs="Times New Roman"/>
          <w:sz w:val="20"/>
          <w:szCs w:val="20"/>
        </w:rPr>
        <w:t xml:space="preserve"> be classified as either financing or operating outflows.  Similarly, under IASB No. 7 (1992), interes</w:t>
      </w:r>
      <w:r w:rsidR="008E0166">
        <w:rPr>
          <w:rFonts w:ascii="Times New Roman" w:eastAsia="Times New Roman" w:hAnsi="Times New Roman" w:cs="Times New Roman"/>
          <w:sz w:val="20"/>
          <w:szCs w:val="20"/>
        </w:rPr>
        <w:t xml:space="preserve">t payments may be classified </w:t>
      </w:r>
      <w:r w:rsidR="00A5237A">
        <w:rPr>
          <w:rFonts w:ascii="Times New Roman" w:eastAsia="Times New Roman" w:hAnsi="Times New Roman" w:cs="Times New Roman"/>
          <w:sz w:val="20"/>
          <w:szCs w:val="20"/>
        </w:rPr>
        <w:t>as</w:t>
      </w:r>
      <w:r w:rsidRPr="00B706EA">
        <w:rPr>
          <w:rFonts w:ascii="Times New Roman" w:eastAsia="Times New Roman" w:hAnsi="Times New Roman" w:cs="Times New Roman"/>
          <w:sz w:val="20"/>
          <w:szCs w:val="20"/>
        </w:rPr>
        <w:t xml:space="preserve"> operating, investing, or financing outflows of non-financial companies, and as either operating or financing outflows of financial companies.  Nurnberg </w:t>
      </w:r>
      <w:r w:rsidR="008E0166">
        <w:rPr>
          <w:rFonts w:ascii="Times New Roman" w:eastAsia="Times New Roman" w:hAnsi="Times New Roman" w:cs="Times New Roman"/>
          <w:sz w:val="20"/>
          <w:szCs w:val="20"/>
        </w:rPr>
        <w:t xml:space="preserve">(2009) </w:t>
      </w:r>
      <w:r w:rsidR="00AF1097">
        <w:rPr>
          <w:rFonts w:ascii="Times New Roman" w:eastAsia="Times New Roman" w:hAnsi="Times New Roman" w:cs="Times New Roman"/>
          <w:sz w:val="20"/>
          <w:szCs w:val="20"/>
        </w:rPr>
        <w:t>suggested</w:t>
      </w:r>
      <w:r w:rsidRPr="00B706EA">
        <w:rPr>
          <w:rFonts w:ascii="Times New Roman" w:eastAsia="Times New Roman" w:hAnsi="Times New Roman" w:cs="Times New Roman"/>
          <w:sz w:val="20"/>
          <w:szCs w:val="20"/>
        </w:rPr>
        <w:t xml:space="preserve"> that IASB classification rules are more flexible than FASB rules to achieve acceptance across countries with different classification</w:t>
      </w:r>
      <w:r w:rsidR="008E0166">
        <w:rPr>
          <w:rFonts w:ascii="Times New Roman" w:eastAsia="Times New Roman" w:hAnsi="Times New Roman" w:cs="Times New Roman"/>
          <w:sz w:val="20"/>
          <w:szCs w:val="20"/>
        </w:rPr>
        <w:t xml:space="preserve"> rules under their own </w:t>
      </w:r>
      <w:r w:rsidRPr="00B706EA">
        <w:rPr>
          <w:rFonts w:ascii="Times New Roman" w:eastAsia="Times New Roman" w:hAnsi="Times New Roman" w:cs="Times New Roman"/>
          <w:sz w:val="20"/>
          <w:szCs w:val="20"/>
        </w:rPr>
        <w:t>financial</w:t>
      </w:r>
      <w:r w:rsidR="008E0166">
        <w:rPr>
          <w:rFonts w:ascii="Times New Roman" w:eastAsia="Times New Roman" w:hAnsi="Times New Roman" w:cs="Times New Roman"/>
          <w:sz w:val="20"/>
          <w:szCs w:val="20"/>
        </w:rPr>
        <w:t xml:space="preserve"> national accounting standards. </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Another problem area is the way different marketable securities (debt and equity) can be treated. For example, trading securities are always under opera</w:t>
      </w:r>
      <w:r w:rsidR="00650659">
        <w:rPr>
          <w:rFonts w:ascii="Times New Roman" w:eastAsia="Times New Roman" w:hAnsi="Times New Roman" w:cs="Times New Roman"/>
          <w:sz w:val="20"/>
          <w:szCs w:val="20"/>
        </w:rPr>
        <w:t>ting activities while available-for-</w:t>
      </w:r>
      <w:r w:rsidRPr="00B706EA">
        <w:rPr>
          <w:rFonts w:ascii="Times New Roman" w:eastAsia="Times New Roman" w:hAnsi="Times New Roman" w:cs="Times New Roman"/>
          <w:sz w:val="20"/>
          <w:szCs w:val="20"/>
        </w:rPr>
        <w:t>sale securities go under investment activities (Weiss and Yang</w:t>
      </w:r>
      <w:r w:rsidR="00650659">
        <w:rPr>
          <w:rFonts w:ascii="Times New Roman" w:eastAsia="Times New Roman" w:hAnsi="Times New Roman" w:cs="Times New Roman"/>
          <w:sz w:val="20"/>
          <w:szCs w:val="20"/>
        </w:rPr>
        <w:t>,</w:t>
      </w:r>
      <w:r w:rsidR="00AF1097">
        <w:rPr>
          <w:rFonts w:ascii="Times New Roman" w:eastAsia="Times New Roman" w:hAnsi="Times New Roman" w:cs="Times New Roman"/>
          <w:sz w:val="20"/>
          <w:szCs w:val="20"/>
        </w:rPr>
        <w:t xml:space="preserve"> 2007). The controversy </w:t>
      </w:r>
      <w:r w:rsidRPr="00B706EA">
        <w:rPr>
          <w:rFonts w:ascii="Times New Roman" w:eastAsia="Times New Roman" w:hAnsi="Times New Roman" w:cs="Times New Roman"/>
          <w:sz w:val="20"/>
          <w:szCs w:val="20"/>
        </w:rPr>
        <w:t>is that companies have flexibility to move from operating to financing, and from financing to operating since companies have the easy ability to classify different equity and debt securities</w:t>
      </w:r>
      <w:r w:rsidR="00650659">
        <w:rPr>
          <w:rFonts w:ascii="Times New Roman" w:eastAsia="Times New Roman" w:hAnsi="Times New Roman" w:cs="Times New Roman"/>
          <w:sz w:val="20"/>
          <w:szCs w:val="20"/>
        </w:rPr>
        <w:t xml:space="preserve"> as either trading or available-for-</w:t>
      </w:r>
      <w:r w:rsidRPr="00B706EA">
        <w:rPr>
          <w:rFonts w:ascii="Times New Roman" w:eastAsia="Times New Roman" w:hAnsi="Times New Roman" w:cs="Times New Roman"/>
          <w:sz w:val="20"/>
          <w:szCs w:val="20"/>
        </w:rPr>
        <w:t>sale. The same issue applies to accounts receivable. If a company sells accounts receivable, the proceeds go under the operating section. However, if a company were to borrow money and accounts receivables acted as collateral for the borrowed</w:t>
      </w:r>
      <w:r w:rsidR="00650659">
        <w:rPr>
          <w:rFonts w:ascii="Times New Roman" w:eastAsia="Times New Roman" w:hAnsi="Times New Roman" w:cs="Times New Roman"/>
          <w:sz w:val="20"/>
          <w:szCs w:val="20"/>
        </w:rPr>
        <w:t xml:space="preserve"> money, the borrowed money</w:t>
      </w:r>
      <w:r w:rsidRPr="00B706EA">
        <w:rPr>
          <w:rFonts w:ascii="Times New Roman" w:eastAsia="Times New Roman" w:hAnsi="Times New Roman" w:cs="Times New Roman"/>
          <w:sz w:val="20"/>
          <w:szCs w:val="20"/>
        </w:rPr>
        <w:t xml:space="preserve"> go</w:t>
      </w:r>
      <w:r w:rsidR="00AF1097">
        <w:rPr>
          <w:rFonts w:ascii="Times New Roman" w:eastAsia="Times New Roman" w:hAnsi="Times New Roman" w:cs="Times New Roman"/>
          <w:sz w:val="20"/>
          <w:szCs w:val="20"/>
        </w:rPr>
        <w:t>es</w:t>
      </w:r>
      <w:r w:rsidRPr="00B706EA">
        <w:rPr>
          <w:rFonts w:ascii="Times New Roman" w:eastAsia="Times New Roman" w:hAnsi="Times New Roman" w:cs="Times New Roman"/>
          <w:sz w:val="20"/>
          <w:szCs w:val="20"/>
        </w:rPr>
        <w:t xml:space="preserve"> under financing activities (Weiss and Yang</w:t>
      </w:r>
      <w:r w:rsidR="00650659">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 xml:space="preserve"> 2007). </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Classification issues also exist relating to the purchase and sale of inventory and plant assets for for-profit and not-for-profit entities.  In his research monogra</w:t>
      </w:r>
      <w:r w:rsidR="00AF1097">
        <w:rPr>
          <w:rFonts w:ascii="Times New Roman" w:eastAsia="Times New Roman" w:hAnsi="Times New Roman" w:cs="Times New Roman"/>
          <w:sz w:val="20"/>
          <w:szCs w:val="20"/>
        </w:rPr>
        <w:t>ph, Heath (1978) said</w:t>
      </w:r>
      <w:r w:rsidR="00650659">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 xml:space="preserve">that the purchase and sale of inventories is in one sense fundamentally the same as the purchase of plant assets.  Both are usually considered part of the normal operating activities of a business, and as a result, both might be viewed as operating activities.  However, in the statement of cash flows, activities relating to the former are classified as operating cash inflows and outflows whereas activities relating to the ladder are classified as investing cash inflows and outflows.  </w:t>
      </w:r>
      <w:r w:rsidR="00AF1097">
        <w:rPr>
          <w:rFonts w:ascii="Times New Roman" w:eastAsia="Times New Roman" w:hAnsi="Times New Roman" w:cs="Times New Roman"/>
          <w:sz w:val="20"/>
          <w:szCs w:val="20"/>
        </w:rPr>
        <w:t xml:space="preserve">According to </w:t>
      </w:r>
      <w:r w:rsidRPr="00B706EA">
        <w:rPr>
          <w:rFonts w:ascii="Times New Roman" w:eastAsia="Times New Roman" w:hAnsi="Times New Roman" w:cs="Times New Roman"/>
          <w:sz w:val="20"/>
          <w:szCs w:val="20"/>
        </w:rPr>
        <w:t>Nurnberg</w:t>
      </w:r>
      <w:r w:rsidR="008E0166">
        <w:rPr>
          <w:rFonts w:ascii="Times New Roman" w:eastAsia="Times New Roman" w:hAnsi="Times New Roman" w:cs="Times New Roman"/>
          <w:sz w:val="20"/>
          <w:szCs w:val="20"/>
        </w:rPr>
        <w:t xml:space="preserve"> (2009)</w:t>
      </w:r>
      <w:r w:rsidR="00AF1097">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cash flows from operating, investing, and financing activities are often interrelated, their classification in the cash flow statement may impede rather than enhance the analysis of cash flow</w:t>
      </w:r>
      <w:r w:rsidR="00FF6D57">
        <w:rPr>
          <w:rFonts w:ascii="Times New Roman" w:eastAsia="Times New Roman" w:hAnsi="Times New Roman" w:cs="Times New Roman"/>
          <w:sz w:val="20"/>
          <w:szCs w:val="20"/>
        </w:rPr>
        <w:t>s.</w:t>
      </w:r>
    </w:p>
    <w:p w:rsidR="00E0091A" w:rsidRPr="00B706EA" w:rsidRDefault="00E0091A">
      <w:pPr>
        <w:ind w:firstLine="720"/>
        <w:rPr>
          <w:rFonts w:ascii="Times New Roman" w:hAnsi="Times New Roman" w:cs="Times New Roman"/>
          <w:sz w:val="20"/>
          <w:szCs w:val="20"/>
        </w:rPr>
      </w:pPr>
    </w:p>
    <w:p w:rsidR="00E0091A" w:rsidRPr="00B706EA" w:rsidRDefault="00177696">
      <w:pPr>
        <w:rPr>
          <w:rFonts w:ascii="Times New Roman" w:hAnsi="Times New Roman" w:cs="Times New Roman"/>
          <w:sz w:val="20"/>
          <w:szCs w:val="20"/>
        </w:rPr>
      </w:pPr>
      <w:r w:rsidRPr="00B706EA">
        <w:rPr>
          <w:rFonts w:ascii="Times New Roman" w:eastAsia="Times New Roman" w:hAnsi="Times New Roman" w:cs="Times New Roman"/>
          <w:b/>
          <w:sz w:val="20"/>
          <w:szCs w:val="20"/>
        </w:rPr>
        <w:t>FASB’s Proposed Accounting Standards Update</w:t>
      </w:r>
    </w:p>
    <w:p w:rsidR="00E0091A" w:rsidRPr="00B706EA" w:rsidRDefault="00E0091A">
      <w:pPr>
        <w:jc w:val="center"/>
        <w:rPr>
          <w:rFonts w:ascii="Times New Roman" w:hAnsi="Times New Roman" w:cs="Times New Roman"/>
          <w:sz w:val="20"/>
          <w:szCs w:val="20"/>
        </w:rPr>
      </w:pPr>
    </w:p>
    <w:p w:rsidR="00E0091A" w:rsidRPr="00B706EA" w:rsidRDefault="00177696" w:rsidP="00FF191C">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The recent FASB exposure draft, </w:t>
      </w:r>
      <w:r w:rsidRPr="00B706EA">
        <w:rPr>
          <w:rFonts w:ascii="Times New Roman" w:eastAsia="Times New Roman" w:hAnsi="Times New Roman" w:cs="Times New Roman"/>
          <w:i/>
          <w:sz w:val="20"/>
          <w:szCs w:val="20"/>
        </w:rPr>
        <w:t>Proposed Accounting Standards Update</w:t>
      </w:r>
      <w:r w:rsidR="00FF6D57">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 xml:space="preserve">2015) focused on changes </w:t>
      </w:r>
      <w:r w:rsidR="00E2011A">
        <w:rPr>
          <w:rFonts w:ascii="Times New Roman" w:eastAsia="Times New Roman" w:hAnsi="Times New Roman" w:cs="Times New Roman"/>
          <w:sz w:val="20"/>
          <w:szCs w:val="20"/>
        </w:rPr>
        <w:t xml:space="preserve">made </w:t>
      </w:r>
      <w:r w:rsidRPr="00B706EA">
        <w:rPr>
          <w:rFonts w:ascii="Times New Roman" w:eastAsia="Times New Roman" w:hAnsi="Times New Roman" w:cs="Times New Roman"/>
          <w:sz w:val="20"/>
          <w:szCs w:val="20"/>
        </w:rPr>
        <w:t>to the presentation of financial statements for not-for-profit entities (N</w:t>
      </w:r>
      <w:r w:rsidR="00E2011A">
        <w:rPr>
          <w:rFonts w:ascii="Times New Roman" w:eastAsia="Times New Roman" w:hAnsi="Times New Roman" w:cs="Times New Roman"/>
          <w:sz w:val="20"/>
          <w:szCs w:val="20"/>
        </w:rPr>
        <w:t>FP) as required in SFAS No. 117.</w:t>
      </w:r>
      <w:r w:rsidRPr="00B706EA">
        <w:rPr>
          <w:rFonts w:ascii="Times New Roman" w:eastAsia="Times New Roman" w:hAnsi="Times New Roman" w:cs="Times New Roman"/>
          <w:sz w:val="20"/>
          <w:szCs w:val="20"/>
        </w:rPr>
        <w:t xml:space="preserve">  FASB</w:t>
      </w:r>
      <w:r w:rsidR="00FF6D57">
        <w:rPr>
          <w:rFonts w:ascii="Times New Roman" w:eastAsia="Times New Roman" w:hAnsi="Times New Roman" w:cs="Times New Roman"/>
          <w:sz w:val="20"/>
          <w:szCs w:val="20"/>
        </w:rPr>
        <w:t xml:space="preserve"> (2015)</w:t>
      </w:r>
      <w:r w:rsidRPr="00B706EA">
        <w:rPr>
          <w:rFonts w:ascii="Times New Roman" w:eastAsia="Times New Roman" w:hAnsi="Times New Roman" w:cs="Times New Roman"/>
          <w:sz w:val="20"/>
          <w:szCs w:val="20"/>
        </w:rPr>
        <w:t xml:space="preserve"> said that its new proposal would be an improvement over the current guidance un</w:t>
      </w:r>
      <w:r w:rsidR="00FF6D57">
        <w:rPr>
          <w:rFonts w:ascii="Times New Roman" w:eastAsia="Times New Roman" w:hAnsi="Times New Roman" w:cs="Times New Roman"/>
          <w:sz w:val="20"/>
          <w:szCs w:val="20"/>
        </w:rPr>
        <w:t>der GAAP  (page 4</w:t>
      </w:r>
      <w:r w:rsidRPr="00B706EA">
        <w:rPr>
          <w:rFonts w:ascii="Times New Roman" w:eastAsia="Times New Roman" w:hAnsi="Times New Roman" w:cs="Times New Roman"/>
          <w:sz w:val="20"/>
          <w:szCs w:val="20"/>
        </w:rPr>
        <w:t>)</w:t>
      </w:r>
      <w:r w:rsidR="00FF6D57">
        <w:rPr>
          <w:rFonts w:ascii="Times New Roman" w:eastAsia="Times New Roman" w:hAnsi="Times New Roman" w:cs="Times New Roman"/>
          <w:sz w:val="20"/>
          <w:szCs w:val="20"/>
        </w:rPr>
        <w:t>.</w:t>
      </w:r>
      <w:r w:rsidR="00FF191C">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FASB member</w:t>
      </w:r>
      <w:r w:rsidR="00FF191C">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 xml:space="preserve"> La</w:t>
      </w:r>
      <w:r w:rsidR="00FF6D57">
        <w:rPr>
          <w:rFonts w:ascii="Times New Roman" w:eastAsia="Times New Roman" w:hAnsi="Times New Roman" w:cs="Times New Roman"/>
          <w:sz w:val="20"/>
          <w:szCs w:val="20"/>
        </w:rPr>
        <w:t>wrence Smith</w:t>
      </w:r>
      <w:r w:rsidR="00FF191C">
        <w:rPr>
          <w:rFonts w:ascii="Times New Roman" w:eastAsia="Times New Roman" w:hAnsi="Times New Roman" w:cs="Times New Roman"/>
          <w:sz w:val="20"/>
          <w:szCs w:val="20"/>
        </w:rPr>
        <w:t>,</w:t>
      </w:r>
      <w:r w:rsidR="00686999">
        <w:rPr>
          <w:rFonts w:ascii="Times New Roman" w:eastAsia="Times New Roman" w:hAnsi="Times New Roman" w:cs="Times New Roman"/>
          <w:sz w:val="20"/>
          <w:szCs w:val="20"/>
        </w:rPr>
        <w:t xml:space="preserve"> said that</w:t>
      </w:r>
      <w:r w:rsidRPr="00B706EA">
        <w:rPr>
          <w:rFonts w:ascii="Times New Roman" w:eastAsia="Times New Roman" w:hAnsi="Times New Roman" w:cs="Times New Roman"/>
          <w:sz w:val="20"/>
          <w:szCs w:val="20"/>
        </w:rPr>
        <w:t xml:space="preserve"> these changes will refresh the model in ways that will make not-for-profit financial statements even more useful to </w:t>
      </w:r>
      <w:r w:rsidR="00686999">
        <w:rPr>
          <w:rFonts w:ascii="Times New Roman" w:eastAsia="Times New Roman" w:hAnsi="Times New Roman" w:cs="Times New Roman"/>
          <w:sz w:val="20"/>
          <w:szCs w:val="20"/>
        </w:rPr>
        <w:t>donors, lenders and other users</w:t>
      </w:r>
      <w:r w:rsidRPr="00B706EA">
        <w:rPr>
          <w:rFonts w:ascii="Times New Roman" w:eastAsia="Times New Roman" w:hAnsi="Times New Roman" w:cs="Times New Roman"/>
          <w:sz w:val="20"/>
          <w:szCs w:val="20"/>
        </w:rPr>
        <w:t xml:space="preserve"> (Bramwe</w:t>
      </w:r>
      <w:r w:rsidR="00FF6D57">
        <w:rPr>
          <w:rFonts w:ascii="Times New Roman" w:eastAsia="Times New Roman" w:hAnsi="Times New Roman" w:cs="Times New Roman"/>
          <w:sz w:val="20"/>
          <w:szCs w:val="20"/>
        </w:rPr>
        <w:t xml:space="preserve">ll, </w:t>
      </w:r>
      <w:r w:rsidRPr="00B706EA">
        <w:rPr>
          <w:rFonts w:ascii="Times New Roman" w:eastAsia="Times New Roman" w:hAnsi="Times New Roman" w:cs="Times New Roman"/>
          <w:sz w:val="20"/>
          <w:szCs w:val="20"/>
        </w:rPr>
        <w:t xml:space="preserve">2015).  </w:t>
      </w:r>
    </w:p>
    <w:p w:rsidR="00E0091A" w:rsidRPr="00B706EA" w:rsidRDefault="00E0091A" w:rsidP="00FF191C">
      <w:pPr>
        <w:ind w:firstLine="720"/>
        <w:jc w:val="both"/>
        <w:rPr>
          <w:rFonts w:ascii="Times New Roman" w:hAnsi="Times New Roman" w:cs="Times New Roman"/>
          <w:sz w:val="20"/>
          <w:szCs w:val="20"/>
        </w:rPr>
      </w:pPr>
    </w:p>
    <w:p w:rsidR="00FF191C" w:rsidRPr="00FF191C" w:rsidRDefault="00177696" w:rsidP="00FF191C">
      <w:pPr>
        <w:ind w:firstLine="720"/>
        <w:jc w:val="both"/>
        <w:rPr>
          <w:rFonts w:ascii="Times New Roman" w:eastAsia="Times New Roman" w:hAnsi="Times New Roman" w:cs="Times New Roman"/>
          <w:sz w:val="20"/>
          <w:szCs w:val="20"/>
        </w:rPr>
      </w:pPr>
      <w:r w:rsidRPr="00B706EA">
        <w:rPr>
          <w:rFonts w:ascii="Times New Roman" w:eastAsia="Times New Roman" w:hAnsi="Times New Roman" w:cs="Times New Roman"/>
          <w:sz w:val="20"/>
          <w:szCs w:val="20"/>
        </w:rPr>
        <w:t xml:space="preserve">Among other things, the proposal dealt with the reclassification of certain items within the Statement of Cash Flows.  This includes changing the purchase and sale of long-lived assets for operating purposes (property, plant and </w:t>
      </w:r>
      <w:r w:rsidR="001711EF">
        <w:rPr>
          <w:rFonts w:ascii="Times New Roman" w:eastAsia="Times New Roman" w:hAnsi="Times New Roman" w:cs="Times New Roman"/>
          <w:sz w:val="20"/>
          <w:szCs w:val="20"/>
        </w:rPr>
        <w:t>equipment or PPE) from investing</w:t>
      </w:r>
      <w:r w:rsidRPr="00B706EA">
        <w:rPr>
          <w:rFonts w:ascii="Times New Roman" w:eastAsia="Times New Roman" w:hAnsi="Times New Roman" w:cs="Times New Roman"/>
          <w:sz w:val="20"/>
          <w:szCs w:val="20"/>
        </w:rPr>
        <w:t xml:space="preserve"> to operating activities; changing cash dividends and interest income from operating to investing activities; and changing cash payment of interest expense from operating to financing activities.  FASB </w:t>
      </w:r>
      <w:r w:rsidR="00FF6D57">
        <w:rPr>
          <w:rFonts w:ascii="Times New Roman" w:eastAsia="Times New Roman" w:hAnsi="Times New Roman" w:cs="Times New Roman"/>
          <w:sz w:val="20"/>
          <w:szCs w:val="20"/>
        </w:rPr>
        <w:t xml:space="preserve">(2015) </w:t>
      </w:r>
      <w:r w:rsidRPr="00B706EA">
        <w:rPr>
          <w:rFonts w:ascii="Times New Roman" w:eastAsia="Times New Roman" w:hAnsi="Times New Roman" w:cs="Times New Roman"/>
          <w:sz w:val="20"/>
          <w:szCs w:val="20"/>
        </w:rPr>
        <w:t xml:space="preserve">concluded:  “Reclassifying items reported in a cash flow statement to better align them with this Update’s proposed </w:t>
      </w:r>
      <w:r w:rsidR="00AF1097">
        <w:rPr>
          <w:rFonts w:ascii="Times New Roman" w:eastAsia="Times New Roman" w:hAnsi="Times New Roman" w:cs="Times New Roman"/>
          <w:sz w:val="20"/>
          <w:szCs w:val="20"/>
        </w:rPr>
        <w:t xml:space="preserve">the </w:t>
      </w:r>
      <w:r w:rsidRPr="00B706EA">
        <w:rPr>
          <w:rFonts w:ascii="Times New Roman" w:eastAsia="Times New Roman" w:hAnsi="Times New Roman" w:cs="Times New Roman"/>
          <w:sz w:val="20"/>
          <w:szCs w:val="20"/>
        </w:rPr>
        <w:t>notion that operating activities reported in the statement of activities should be based on whether ‘resource inflows and outflows are from or directed at carrying out an NFP’s purpose for existence’ would increase understandability and help co</w:t>
      </w:r>
      <w:r w:rsidR="00FF6D57">
        <w:rPr>
          <w:rFonts w:ascii="Times New Roman" w:eastAsia="Times New Roman" w:hAnsi="Times New Roman" w:cs="Times New Roman"/>
          <w:sz w:val="20"/>
          <w:szCs w:val="20"/>
        </w:rPr>
        <w:t>mmunicate financial performance” (page 6</w:t>
      </w:r>
      <w:r w:rsidRPr="00B706EA">
        <w:rPr>
          <w:rFonts w:ascii="Times New Roman" w:eastAsia="Times New Roman" w:hAnsi="Times New Roman" w:cs="Times New Roman"/>
          <w:sz w:val="20"/>
          <w:szCs w:val="20"/>
        </w:rPr>
        <w:t>)</w:t>
      </w:r>
      <w:r w:rsidR="00DD78E3">
        <w:rPr>
          <w:rFonts w:ascii="Times New Roman" w:eastAsia="Times New Roman" w:hAnsi="Times New Roman" w:cs="Times New Roman"/>
          <w:sz w:val="20"/>
          <w:szCs w:val="20"/>
        </w:rPr>
        <w:t xml:space="preserve">. </w:t>
      </w:r>
      <w:r w:rsidR="00FF191C">
        <w:rPr>
          <w:rFonts w:ascii="Times New Roman" w:eastAsia="Times New Roman" w:hAnsi="Times New Roman" w:cs="Times New Roman"/>
          <w:sz w:val="20"/>
          <w:szCs w:val="20"/>
        </w:rPr>
        <w:t xml:space="preserve"> </w:t>
      </w:r>
      <w:r w:rsidR="00686999">
        <w:rPr>
          <w:rFonts w:ascii="Times New Roman" w:eastAsia="Times New Roman" w:hAnsi="Times New Roman" w:cs="Times New Roman"/>
          <w:sz w:val="20"/>
          <w:szCs w:val="20"/>
        </w:rPr>
        <w:t xml:space="preserve">In addition, </w:t>
      </w:r>
      <w:r w:rsidRPr="00B706EA">
        <w:rPr>
          <w:rFonts w:ascii="Times New Roman" w:eastAsia="Times New Roman" w:hAnsi="Times New Roman" w:cs="Times New Roman"/>
          <w:sz w:val="20"/>
          <w:szCs w:val="20"/>
        </w:rPr>
        <w:t xml:space="preserve">Jim Kroeher, FASB Vice </w:t>
      </w:r>
      <w:r w:rsidR="00686999">
        <w:rPr>
          <w:rFonts w:ascii="Times New Roman" w:eastAsia="Times New Roman" w:hAnsi="Times New Roman" w:cs="Times New Roman"/>
          <w:sz w:val="20"/>
          <w:szCs w:val="20"/>
        </w:rPr>
        <w:t xml:space="preserve">President, </w:t>
      </w:r>
      <w:r w:rsidR="00AF1097">
        <w:rPr>
          <w:rFonts w:ascii="Times New Roman" w:eastAsia="Times New Roman" w:hAnsi="Times New Roman" w:cs="Times New Roman"/>
          <w:sz w:val="20"/>
          <w:szCs w:val="20"/>
        </w:rPr>
        <w:t>clarified FASB’s new</w:t>
      </w:r>
      <w:r w:rsidR="00FF191C" w:rsidRPr="00B706EA">
        <w:rPr>
          <w:rFonts w:ascii="Times New Roman" w:eastAsia="Times New Roman" w:hAnsi="Times New Roman" w:cs="Times New Roman"/>
          <w:sz w:val="20"/>
          <w:szCs w:val="20"/>
        </w:rPr>
        <w:t xml:space="preserve"> position relating to moving the acquisition and sale of property, plant and equipment from an investing to an operating</w:t>
      </w:r>
      <w:r w:rsidR="00FF191C">
        <w:rPr>
          <w:rFonts w:ascii="Times New Roman" w:eastAsia="Times New Roman" w:hAnsi="Times New Roman" w:cs="Times New Roman"/>
          <w:sz w:val="20"/>
          <w:szCs w:val="20"/>
        </w:rPr>
        <w:t xml:space="preserve"> activity.  He</w:t>
      </w:r>
      <w:r w:rsidR="00FF191C" w:rsidRPr="00B706EA">
        <w:rPr>
          <w:rFonts w:ascii="Times New Roman" w:eastAsia="Times New Roman" w:hAnsi="Times New Roman" w:cs="Times New Roman"/>
          <w:sz w:val="20"/>
          <w:szCs w:val="20"/>
        </w:rPr>
        <w:t xml:space="preserve"> concluded that </w:t>
      </w:r>
      <w:r w:rsidR="00FF191C">
        <w:rPr>
          <w:rFonts w:ascii="Times New Roman" w:eastAsia="Times New Roman" w:hAnsi="Times New Roman" w:cs="Times New Roman"/>
          <w:sz w:val="20"/>
          <w:szCs w:val="20"/>
        </w:rPr>
        <w:t xml:space="preserve">FASB is pursuing a cohesive principle.  </w:t>
      </w:r>
      <w:r w:rsidR="00FF191C">
        <w:rPr>
          <w:rFonts w:ascii="Times New Roman" w:eastAsia="Times New Roman" w:hAnsi="Times New Roman" w:cs="Times New Roman"/>
          <w:sz w:val="20"/>
          <w:szCs w:val="20"/>
        </w:rPr>
        <w:lastRenderedPageBreak/>
        <w:t>That is, since depreciation of PPE</w:t>
      </w:r>
      <w:r w:rsidR="00FF191C" w:rsidRPr="00B706EA">
        <w:rPr>
          <w:rFonts w:ascii="Times New Roman" w:eastAsia="Times New Roman" w:hAnsi="Times New Roman" w:cs="Times New Roman"/>
          <w:sz w:val="20"/>
          <w:szCs w:val="20"/>
        </w:rPr>
        <w:t xml:space="preserve"> is an operating expense, the</w:t>
      </w:r>
      <w:r w:rsidR="00AF1097">
        <w:rPr>
          <w:rFonts w:ascii="Times New Roman" w:eastAsia="Times New Roman" w:hAnsi="Times New Roman" w:cs="Times New Roman"/>
          <w:sz w:val="20"/>
          <w:szCs w:val="20"/>
        </w:rPr>
        <w:t>n the acquisition of PP</w:t>
      </w:r>
      <w:r w:rsidR="00FF191C">
        <w:rPr>
          <w:rFonts w:ascii="Times New Roman" w:eastAsia="Times New Roman" w:hAnsi="Times New Roman" w:cs="Times New Roman"/>
          <w:sz w:val="20"/>
          <w:szCs w:val="20"/>
        </w:rPr>
        <w:t xml:space="preserve">E should be </w:t>
      </w:r>
      <w:r w:rsidR="00FF191C" w:rsidRPr="00B706EA">
        <w:rPr>
          <w:rFonts w:ascii="Times New Roman" w:eastAsia="Times New Roman" w:hAnsi="Times New Roman" w:cs="Times New Roman"/>
          <w:sz w:val="20"/>
          <w:szCs w:val="20"/>
        </w:rPr>
        <w:t xml:space="preserve">operating </w:t>
      </w:r>
      <w:r w:rsidR="00FF191C">
        <w:rPr>
          <w:rFonts w:ascii="Times New Roman" w:eastAsia="Times New Roman" w:hAnsi="Times New Roman" w:cs="Times New Roman"/>
          <w:sz w:val="20"/>
          <w:szCs w:val="20"/>
        </w:rPr>
        <w:t>cash flow as well (Whitehouse, 2015).</w:t>
      </w:r>
    </w:p>
    <w:p w:rsidR="00E0091A" w:rsidRPr="00B706EA" w:rsidRDefault="00E0091A" w:rsidP="00FF191C">
      <w:pPr>
        <w:ind w:firstLine="720"/>
        <w:jc w:val="both"/>
        <w:rPr>
          <w:rFonts w:ascii="Times New Roman" w:hAnsi="Times New Roman" w:cs="Times New Roman"/>
          <w:sz w:val="20"/>
          <w:szCs w:val="20"/>
        </w:rPr>
      </w:pPr>
    </w:p>
    <w:p w:rsidR="00E0091A" w:rsidRPr="00B706EA" w:rsidRDefault="00177696" w:rsidP="00FF191C">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Impor</w:t>
      </w:r>
      <w:r w:rsidR="00686999">
        <w:rPr>
          <w:rFonts w:ascii="Times New Roman" w:eastAsia="Times New Roman" w:hAnsi="Times New Roman" w:cs="Times New Roman"/>
          <w:sz w:val="20"/>
          <w:szCs w:val="20"/>
        </w:rPr>
        <w:t>tantly, Kroeher also said</w:t>
      </w:r>
      <w:r w:rsidRPr="00B706EA">
        <w:rPr>
          <w:rFonts w:ascii="Times New Roman" w:eastAsia="Times New Roman" w:hAnsi="Times New Roman" w:cs="Times New Roman"/>
          <w:sz w:val="20"/>
          <w:szCs w:val="20"/>
        </w:rPr>
        <w:t xml:space="preserve"> that the </w:t>
      </w:r>
      <w:r w:rsidRPr="00B706EA">
        <w:rPr>
          <w:rFonts w:ascii="Times New Roman" w:eastAsia="Times New Roman" w:hAnsi="Times New Roman" w:cs="Times New Roman"/>
          <w:i/>
          <w:sz w:val="20"/>
          <w:szCs w:val="20"/>
        </w:rPr>
        <w:t>Proposed Accounting Standards Update</w:t>
      </w:r>
      <w:r w:rsidRPr="00B706EA">
        <w:rPr>
          <w:rFonts w:ascii="Times New Roman" w:eastAsia="Times New Roman" w:hAnsi="Times New Roman" w:cs="Times New Roman"/>
          <w:sz w:val="20"/>
          <w:szCs w:val="20"/>
        </w:rPr>
        <w:t xml:space="preserve"> has led FASB board members to ponder whether the same concepts should be extended to for-prof</w:t>
      </w:r>
      <w:r w:rsidR="005B050E">
        <w:rPr>
          <w:rFonts w:ascii="Times New Roman" w:eastAsia="Times New Roman" w:hAnsi="Times New Roman" w:cs="Times New Roman"/>
          <w:sz w:val="20"/>
          <w:szCs w:val="20"/>
        </w:rPr>
        <w:t>it entities</w:t>
      </w:r>
      <w:r w:rsidR="00FF6D57">
        <w:rPr>
          <w:rFonts w:ascii="Times New Roman" w:eastAsia="Times New Roman" w:hAnsi="Times New Roman" w:cs="Times New Roman"/>
          <w:sz w:val="20"/>
          <w:szCs w:val="20"/>
        </w:rPr>
        <w:t xml:space="preserve"> (Whitehouse, 2015</w:t>
      </w:r>
      <w:r w:rsidRPr="00B706EA">
        <w:rPr>
          <w:rFonts w:ascii="Times New Roman" w:eastAsia="Times New Roman" w:hAnsi="Times New Roman" w:cs="Times New Roman"/>
          <w:sz w:val="20"/>
          <w:szCs w:val="20"/>
        </w:rPr>
        <w:t>).  Whitehouse</w:t>
      </w:r>
      <w:r w:rsidR="00FF6D57">
        <w:rPr>
          <w:rFonts w:ascii="Times New Roman" w:eastAsia="Times New Roman" w:hAnsi="Times New Roman" w:cs="Times New Roman"/>
          <w:sz w:val="20"/>
          <w:szCs w:val="20"/>
        </w:rPr>
        <w:t xml:space="preserve"> (2015)</w:t>
      </w:r>
      <w:r w:rsidR="00686999">
        <w:rPr>
          <w:rFonts w:ascii="Times New Roman" w:eastAsia="Times New Roman" w:hAnsi="Times New Roman" w:cs="Times New Roman"/>
          <w:sz w:val="20"/>
          <w:szCs w:val="20"/>
        </w:rPr>
        <w:t xml:space="preserve"> said this</w:t>
      </w:r>
      <w:r w:rsidRPr="00B706EA">
        <w:rPr>
          <w:rFonts w:ascii="Times New Roman" w:eastAsia="Times New Roman" w:hAnsi="Times New Roman" w:cs="Times New Roman"/>
          <w:sz w:val="20"/>
          <w:szCs w:val="20"/>
        </w:rPr>
        <w:t xml:space="preserve"> implies, “A recent proposal to change the presentation of financial information for not-for profit entities, especially cash flow classifications, could serve as a preview of what might be in store for</w:t>
      </w:r>
      <w:r w:rsidR="00E2011A">
        <w:rPr>
          <w:rFonts w:ascii="Times New Roman" w:eastAsia="Times New Roman" w:hAnsi="Times New Roman" w:cs="Times New Roman"/>
          <w:sz w:val="20"/>
          <w:szCs w:val="20"/>
        </w:rPr>
        <w:t xml:space="preserve"> public companies </w:t>
      </w:r>
      <w:r w:rsidR="00FF6D57">
        <w:rPr>
          <w:rFonts w:ascii="Times New Roman" w:eastAsia="Times New Roman" w:hAnsi="Times New Roman" w:cs="Times New Roman"/>
          <w:sz w:val="20"/>
          <w:szCs w:val="20"/>
        </w:rPr>
        <w:t>down the line” (page 1</w:t>
      </w:r>
      <w:r w:rsidR="00E2011A">
        <w:rPr>
          <w:rFonts w:ascii="Times New Roman" w:eastAsia="Times New Roman" w:hAnsi="Times New Roman" w:cs="Times New Roman"/>
          <w:sz w:val="20"/>
          <w:szCs w:val="20"/>
        </w:rPr>
        <w:t>)</w:t>
      </w:r>
      <w:r w:rsidR="00FF6D57">
        <w:rPr>
          <w:rFonts w:ascii="Times New Roman" w:eastAsia="Times New Roman" w:hAnsi="Times New Roman" w:cs="Times New Roman"/>
          <w:sz w:val="20"/>
          <w:szCs w:val="20"/>
        </w:rPr>
        <w:t>.</w:t>
      </w:r>
      <w:r w:rsidR="00FF191C">
        <w:rPr>
          <w:rFonts w:ascii="Times New Roman" w:eastAsia="Times New Roman" w:hAnsi="Times New Roman" w:cs="Times New Roman"/>
          <w:sz w:val="20"/>
          <w:szCs w:val="20"/>
        </w:rPr>
        <w:t xml:space="preserve">  Thus, the</w:t>
      </w:r>
      <w:r w:rsidRPr="00B706EA">
        <w:rPr>
          <w:rFonts w:ascii="Times New Roman" w:eastAsia="Times New Roman" w:hAnsi="Times New Roman" w:cs="Times New Roman"/>
          <w:sz w:val="20"/>
          <w:szCs w:val="20"/>
        </w:rPr>
        <w:t xml:space="preserve"> Update to SFAS No. 117 may be a prelude to a </w:t>
      </w:r>
      <w:r w:rsidR="00884E3A">
        <w:rPr>
          <w:rFonts w:ascii="Times New Roman" w:eastAsia="Times New Roman" w:hAnsi="Times New Roman" w:cs="Times New Roman"/>
          <w:sz w:val="20"/>
          <w:szCs w:val="20"/>
        </w:rPr>
        <w:t xml:space="preserve">future </w:t>
      </w:r>
      <w:r w:rsidR="005B050E">
        <w:rPr>
          <w:rFonts w:ascii="Times New Roman" w:eastAsia="Times New Roman" w:hAnsi="Times New Roman" w:cs="Times New Roman"/>
          <w:sz w:val="20"/>
          <w:szCs w:val="20"/>
        </w:rPr>
        <w:t>FASB proposal to make changes in</w:t>
      </w:r>
      <w:r w:rsidRPr="00B706EA">
        <w:rPr>
          <w:rFonts w:ascii="Times New Roman" w:eastAsia="Times New Roman" w:hAnsi="Times New Roman" w:cs="Times New Roman"/>
          <w:sz w:val="20"/>
          <w:szCs w:val="20"/>
        </w:rPr>
        <w:t xml:space="preserve"> SFAS No. 95.</w:t>
      </w:r>
    </w:p>
    <w:p w:rsidR="00E0091A" w:rsidRPr="00B706EA" w:rsidRDefault="00E0091A" w:rsidP="00FF191C">
      <w:pPr>
        <w:jc w:val="both"/>
        <w:rPr>
          <w:rFonts w:ascii="Times New Roman" w:hAnsi="Times New Roman" w:cs="Times New Roman"/>
          <w:sz w:val="20"/>
          <w:szCs w:val="20"/>
        </w:rPr>
      </w:pPr>
    </w:p>
    <w:p w:rsidR="00E0091A" w:rsidRPr="00B706EA" w:rsidRDefault="00177696">
      <w:pPr>
        <w:jc w:val="center"/>
        <w:rPr>
          <w:rFonts w:ascii="Times New Roman" w:hAnsi="Times New Roman" w:cs="Times New Roman"/>
          <w:sz w:val="20"/>
          <w:szCs w:val="20"/>
        </w:rPr>
      </w:pPr>
      <w:r w:rsidRPr="00B706EA">
        <w:rPr>
          <w:rFonts w:ascii="Times New Roman" w:eastAsia="Times New Roman" w:hAnsi="Times New Roman" w:cs="Times New Roman"/>
          <w:b/>
          <w:sz w:val="20"/>
          <w:szCs w:val="20"/>
        </w:rPr>
        <w:t>RESEARCH DESIGN AND FINDINGS</w:t>
      </w:r>
    </w:p>
    <w:p w:rsidR="00E0091A" w:rsidRPr="00B706EA" w:rsidRDefault="00E0091A">
      <w:pPr>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The purpose of our research was to study the impact of FASB’s new proposal on t</w:t>
      </w:r>
      <w:r w:rsidR="00E56C39">
        <w:rPr>
          <w:rFonts w:ascii="Times New Roman" w:eastAsia="Times New Roman" w:hAnsi="Times New Roman" w:cs="Times New Roman"/>
          <w:sz w:val="20"/>
          <w:szCs w:val="20"/>
        </w:rPr>
        <w:t>he Statement of Cash Flows for not-for-p</w:t>
      </w:r>
      <w:r w:rsidRPr="00B706EA">
        <w:rPr>
          <w:rFonts w:ascii="Times New Roman" w:eastAsia="Times New Roman" w:hAnsi="Times New Roman" w:cs="Times New Roman"/>
          <w:sz w:val="20"/>
          <w:szCs w:val="20"/>
        </w:rPr>
        <w:t>rofit entities.  Our research focused on the impact of reclassifying PPE purchases and sales from Investing Activities to Operating Activities.  We chose PPE purchases and sales because of its size relative to the other items that would be subject to reclassification under the FASB proposal.</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Our sample consisted of the 50 largest U.S. charities (Barrett 2014) and 50 largest U.S. hospitals (</w:t>
      </w:r>
      <w:r w:rsidR="00E56C39">
        <w:rPr>
          <w:rFonts w:ascii="Times New Roman" w:eastAsia="Times New Roman" w:hAnsi="Times New Roman" w:cs="Times New Roman"/>
          <w:sz w:val="20"/>
          <w:szCs w:val="20"/>
        </w:rPr>
        <w:t>Gamble 2014).</w:t>
      </w:r>
      <w:r w:rsidRPr="00B706EA">
        <w:rPr>
          <w:rFonts w:ascii="Times New Roman" w:eastAsia="Times New Roman" w:hAnsi="Times New Roman" w:cs="Times New Roman"/>
          <w:sz w:val="20"/>
          <w:szCs w:val="20"/>
        </w:rPr>
        <w:t xml:space="preserve"> We collected the following cash flow related items from their Comprehensive </w:t>
      </w:r>
      <w:r w:rsidR="00E56C39">
        <w:rPr>
          <w:rFonts w:ascii="Times New Roman" w:eastAsia="Times New Roman" w:hAnsi="Times New Roman" w:cs="Times New Roman"/>
          <w:sz w:val="20"/>
          <w:szCs w:val="20"/>
        </w:rPr>
        <w:t xml:space="preserve">Annual Financial Reports (CAFR) from 2010 to 2014:  </w:t>
      </w:r>
      <w:r w:rsidRPr="00B706EA">
        <w:rPr>
          <w:rFonts w:ascii="Times New Roman" w:eastAsia="Times New Roman" w:hAnsi="Times New Roman" w:cs="Times New Roman"/>
          <w:sz w:val="20"/>
          <w:szCs w:val="20"/>
        </w:rPr>
        <w:t>Cash Flow from Operating Activities (Old OCF), Purchases of Fixed Assets (PPE Purchases) and Sale of Fixed Assets (PPE Sales).  To investigate the impact of classifying PPE Purchases and Sales as part of OCF, we looked at the magnitude of net fixed assets purchases (PPE Purchases – PPE sales</w:t>
      </w:r>
      <w:r w:rsidR="00A30117">
        <w:rPr>
          <w:rFonts w:ascii="Times New Roman" w:eastAsia="Times New Roman" w:hAnsi="Times New Roman" w:cs="Times New Roman"/>
          <w:sz w:val="20"/>
          <w:szCs w:val="20"/>
        </w:rPr>
        <w:t>) as a percentage of OCF (</w:t>
      </w:r>
      <w:r w:rsidR="00087769">
        <w:rPr>
          <w:rFonts w:ascii="Times New Roman" w:eastAsia="Times New Roman" w:hAnsi="Times New Roman" w:cs="Times New Roman"/>
          <w:sz w:val="20"/>
          <w:szCs w:val="20"/>
        </w:rPr>
        <w:t xml:space="preserve">or </w:t>
      </w:r>
      <w:r w:rsidR="00A30117">
        <w:rPr>
          <w:rFonts w:ascii="Times New Roman" w:eastAsia="Times New Roman" w:hAnsi="Times New Roman" w:cs="Times New Roman"/>
          <w:sz w:val="20"/>
          <w:szCs w:val="20"/>
        </w:rPr>
        <w:t>Net PPE/ OCF).</w:t>
      </w:r>
      <w:r w:rsidRPr="00B706EA">
        <w:rPr>
          <w:rFonts w:ascii="Times New Roman" w:eastAsia="Times New Roman" w:hAnsi="Times New Roman" w:cs="Times New Roman"/>
          <w:sz w:val="20"/>
          <w:szCs w:val="20"/>
        </w:rPr>
        <w:t xml:space="preserve">  Our first hypothesis was that Net PPE transactions would be a large component of OCF.  To shed light on how much operating cash flow would change based on this new classification, we calculated what would have been reported if the proposed standard was in place from 2010 to 2014 (New OCF).  Our second hypothesis was that there would be significant differences between the old and new measures of OCFs.  To test this hypothesis, we conducted paired </w:t>
      </w:r>
      <w:r w:rsidR="000D2766">
        <w:rPr>
          <w:rFonts w:ascii="Times New Roman" w:eastAsia="Times New Roman" w:hAnsi="Times New Roman" w:cs="Times New Roman"/>
          <w:sz w:val="20"/>
          <w:szCs w:val="20"/>
        </w:rPr>
        <w:t xml:space="preserve">t-tests </w:t>
      </w:r>
      <w:r w:rsidR="00087769">
        <w:rPr>
          <w:rFonts w:ascii="Times New Roman" w:eastAsia="Times New Roman" w:hAnsi="Times New Roman" w:cs="Times New Roman"/>
          <w:sz w:val="20"/>
          <w:szCs w:val="20"/>
        </w:rPr>
        <w:t xml:space="preserve">between the old and </w:t>
      </w:r>
      <w:r w:rsidRPr="00B706EA">
        <w:rPr>
          <w:rFonts w:ascii="Times New Roman" w:eastAsia="Times New Roman" w:hAnsi="Times New Roman" w:cs="Times New Roman"/>
          <w:sz w:val="20"/>
          <w:szCs w:val="20"/>
        </w:rPr>
        <w:t>new measures.</w:t>
      </w:r>
    </w:p>
    <w:p w:rsidR="00E0091A" w:rsidRPr="00B706EA" w:rsidRDefault="00E0091A">
      <w:pPr>
        <w:ind w:firstLine="720"/>
        <w:jc w:val="both"/>
        <w:rPr>
          <w:rFonts w:ascii="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Not-for-profit entities are heterogeneous.  For example, these organizations rely on different revenue sources that may affect the magnitude of cash flow from operating activities.  Hospitals receive the majority of their revenue from private payments.  On the other hand, charities relating to the arts, culture, humanities, environment and animals</w:t>
      </w:r>
      <w:r w:rsidR="00087769">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 xml:space="preserve"> mostly rely on private contributions. </w:t>
      </w:r>
      <w:r w:rsidR="00321031">
        <w:rPr>
          <w:rFonts w:ascii="Times New Roman" w:eastAsia="Times New Roman" w:hAnsi="Times New Roman" w:cs="Times New Roman"/>
          <w:sz w:val="20"/>
          <w:szCs w:val="20"/>
        </w:rPr>
        <w:t>Sherlock and Gravelle (2009) said,</w:t>
      </w:r>
      <w:r w:rsidRPr="00B706EA">
        <w:rPr>
          <w:rFonts w:ascii="Times New Roman" w:eastAsia="Times New Roman" w:hAnsi="Times New Roman" w:cs="Times New Roman"/>
          <w:sz w:val="20"/>
          <w:szCs w:val="20"/>
        </w:rPr>
        <w:t xml:space="preserve"> “Charities that rely heavily on private contributions are more susceptible to economic fluctuations and changes in the tax code that would affect individual giving</w:t>
      </w:r>
      <w:r w:rsidR="00321031">
        <w:rPr>
          <w:rFonts w:ascii="Times New Roman" w:eastAsia="Times New Roman" w:hAnsi="Times New Roman" w:cs="Times New Roman"/>
          <w:sz w:val="20"/>
          <w:szCs w:val="20"/>
        </w:rPr>
        <w:t>” (page 27).</w:t>
      </w:r>
      <w:r w:rsidRPr="00B706EA">
        <w:rPr>
          <w:rFonts w:ascii="Times New Roman" w:eastAsia="Times New Roman" w:hAnsi="Times New Roman" w:cs="Times New Roman"/>
          <w:sz w:val="20"/>
          <w:szCs w:val="20"/>
        </w:rPr>
        <w:t xml:space="preserve"> Thus</w:t>
      </w:r>
      <w:r w:rsidR="00321031">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 xml:space="preserve"> their revenues tend to be more volatile.  Our third hypothesis was that FASB</w:t>
      </w:r>
      <w:r w:rsidR="00A5237A">
        <w:rPr>
          <w:rFonts w:ascii="Times New Roman" w:eastAsia="Times New Roman" w:hAnsi="Times New Roman" w:cs="Times New Roman"/>
          <w:sz w:val="20"/>
          <w:szCs w:val="20"/>
        </w:rPr>
        <w:t>’</w:t>
      </w:r>
      <w:r w:rsidRPr="00B706EA">
        <w:rPr>
          <w:rFonts w:ascii="Times New Roman" w:eastAsia="Times New Roman" w:hAnsi="Times New Roman" w:cs="Times New Roman"/>
          <w:sz w:val="20"/>
          <w:szCs w:val="20"/>
        </w:rPr>
        <w:t>s proposal would have</w:t>
      </w:r>
      <w:r w:rsidR="00236489">
        <w:rPr>
          <w:rFonts w:ascii="Times New Roman" w:eastAsia="Times New Roman" w:hAnsi="Times New Roman" w:cs="Times New Roman"/>
          <w:sz w:val="20"/>
          <w:szCs w:val="20"/>
        </w:rPr>
        <w:t xml:space="preserve"> a different impact on different</w:t>
      </w:r>
      <w:bookmarkStart w:id="1" w:name="_GoBack"/>
      <w:bookmarkEnd w:id="1"/>
      <w:r w:rsidR="00087769">
        <w:rPr>
          <w:rFonts w:ascii="Times New Roman" w:eastAsia="Times New Roman" w:hAnsi="Times New Roman" w:cs="Times New Roman"/>
          <w:sz w:val="20"/>
          <w:szCs w:val="20"/>
        </w:rPr>
        <w:t xml:space="preserve"> types of not-for-profit</w:t>
      </w:r>
      <w:r w:rsidRPr="00B706EA">
        <w:rPr>
          <w:rFonts w:ascii="Times New Roman" w:eastAsia="Times New Roman" w:hAnsi="Times New Roman" w:cs="Times New Roman"/>
          <w:sz w:val="20"/>
          <w:szCs w:val="20"/>
        </w:rPr>
        <w:t xml:space="preserve"> organizations.  To investigate the different impacts, we analyzed the effect of reclassification of PPE Purchases and Sales on t</w:t>
      </w:r>
      <w:r w:rsidR="00087769">
        <w:rPr>
          <w:rFonts w:ascii="Times New Roman" w:eastAsia="Times New Roman" w:hAnsi="Times New Roman" w:cs="Times New Roman"/>
          <w:sz w:val="20"/>
          <w:szCs w:val="20"/>
        </w:rPr>
        <w:t xml:space="preserve">wo different types of not-for-profit </w:t>
      </w:r>
      <w:r w:rsidRPr="00B706EA">
        <w:rPr>
          <w:rFonts w:ascii="Times New Roman" w:eastAsia="Times New Roman" w:hAnsi="Times New Roman" w:cs="Times New Roman"/>
          <w:sz w:val="20"/>
          <w:szCs w:val="20"/>
        </w:rPr>
        <w:t>organizations, charities and hospitals.</w:t>
      </w:r>
    </w:p>
    <w:p w:rsidR="00E0091A" w:rsidRPr="00B706EA" w:rsidRDefault="00E0091A">
      <w:pPr>
        <w:jc w:val="center"/>
        <w:rPr>
          <w:rFonts w:ascii="Times New Roman" w:hAnsi="Times New Roman" w:cs="Times New Roman"/>
          <w:sz w:val="20"/>
          <w:szCs w:val="20"/>
        </w:rPr>
      </w:pPr>
    </w:p>
    <w:p w:rsidR="00F75EFC" w:rsidRDefault="00FB65A4" w:rsidP="00F75EFC">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broke</w:t>
      </w:r>
      <w:r w:rsidR="00087769">
        <w:rPr>
          <w:rFonts w:ascii="Times New Roman" w:eastAsia="Times New Roman" w:hAnsi="Times New Roman" w:cs="Times New Roman"/>
          <w:sz w:val="20"/>
          <w:szCs w:val="20"/>
        </w:rPr>
        <w:t xml:space="preserve"> o</w:t>
      </w:r>
      <w:r w:rsidR="009341C0">
        <w:rPr>
          <w:rFonts w:ascii="Times New Roman" w:eastAsia="Times New Roman" w:hAnsi="Times New Roman" w:cs="Times New Roman"/>
          <w:sz w:val="20"/>
          <w:szCs w:val="20"/>
        </w:rPr>
        <w:t>ur data</w:t>
      </w:r>
      <w:r w:rsidR="00087769">
        <w:rPr>
          <w:rFonts w:ascii="Times New Roman" w:eastAsia="Times New Roman" w:hAnsi="Times New Roman" w:cs="Times New Roman"/>
          <w:sz w:val="20"/>
          <w:szCs w:val="20"/>
        </w:rPr>
        <w:t xml:space="preserve"> down</w:t>
      </w:r>
      <w:r w:rsidR="00177696" w:rsidRPr="00B706EA">
        <w:rPr>
          <w:rFonts w:ascii="Times New Roman" w:eastAsia="Times New Roman" w:hAnsi="Times New Roman" w:cs="Times New Roman"/>
          <w:sz w:val="20"/>
          <w:szCs w:val="20"/>
        </w:rPr>
        <w:t xml:space="preserve"> into five separate a</w:t>
      </w:r>
      <w:r>
        <w:rPr>
          <w:rFonts w:ascii="Times New Roman" w:eastAsia="Times New Roman" w:hAnsi="Times New Roman" w:cs="Times New Roman"/>
          <w:sz w:val="20"/>
          <w:szCs w:val="20"/>
        </w:rPr>
        <w:t xml:space="preserve">nnual </w:t>
      </w:r>
      <w:r w:rsidR="00A5237A">
        <w:rPr>
          <w:rFonts w:ascii="Times New Roman" w:eastAsia="Times New Roman" w:hAnsi="Times New Roman" w:cs="Times New Roman"/>
          <w:sz w:val="20"/>
          <w:szCs w:val="20"/>
        </w:rPr>
        <w:t>analyses</w:t>
      </w:r>
      <w:r>
        <w:rPr>
          <w:rFonts w:ascii="Times New Roman" w:eastAsia="Times New Roman" w:hAnsi="Times New Roman" w:cs="Times New Roman"/>
          <w:sz w:val="20"/>
          <w:szCs w:val="20"/>
        </w:rPr>
        <w:t xml:space="preserve">, and only reported </w:t>
      </w:r>
      <w:r w:rsidR="00177696" w:rsidRPr="00B706EA">
        <w:rPr>
          <w:rFonts w:ascii="Times New Roman" w:eastAsia="Times New Roman" w:hAnsi="Times New Roman" w:cs="Times New Roman"/>
          <w:sz w:val="20"/>
          <w:szCs w:val="20"/>
        </w:rPr>
        <w:t>the averages of our sample data.</w:t>
      </w:r>
      <w:r w:rsidR="00177696" w:rsidRPr="00B706EA">
        <w:rPr>
          <w:rFonts w:ascii="Times New Roman" w:eastAsia="Times New Roman" w:hAnsi="Times New Roman" w:cs="Times New Roman"/>
          <w:b/>
          <w:sz w:val="20"/>
          <w:szCs w:val="20"/>
        </w:rPr>
        <w:t xml:space="preserve"> </w:t>
      </w:r>
      <w:r w:rsidR="00BA519F">
        <w:rPr>
          <w:rFonts w:ascii="Times New Roman" w:eastAsia="Times New Roman" w:hAnsi="Times New Roman" w:cs="Times New Roman"/>
          <w:sz w:val="20"/>
          <w:szCs w:val="20"/>
        </w:rPr>
        <w:t>It should be noted</w:t>
      </w:r>
      <w:r w:rsidR="00F75EFC">
        <w:rPr>
          <w:rFonts w:ascii="Times New Roman" w:eastAsia="Times New Roman" w:hAnsi="Times New Roman" w:cs="Times New Roman"/>
          <w:sz w:val="20"/>
          <w:szCs w:val="20"/>
        </w:rPr>
        <w:t xml:space="preserve"> that when the old OCF</w:t>
      </w:r>
      <w:r w:rsidR="00C279E7">
        <w:rPr>
          <w:rFonts w:ascii="Times New Roman" w:eastAsia="Times New Roman" w:hAnsi="Times New Roman" w:cs="Times New Roman"/>
          <w:sz w:val="20"/>
          <w:szCs w:val="20"/>
        </w:rPr>
        <w:t xml:space="preserve"> and PPE p</w:t>
      </w:r>
      <w:r w:rsidR="00F75EFC" w:rsidRPr="00B706EA">
        <w:rPr>
          <w:rFonts w:ascii="Times New Roman" w:eastAsia="Times New Roman" w:hAnsi="Times New Roman" w:cs="Times New Roman"/>
          <w:sz w:val="20"/>
          <w:szCs w:val="20"/>
        </w:rPr>
        <w:t xml:space="preserve">urchases and sales </w:t>
      </w:r>
      <w:r w:rsidR="00BA519F">
        <w:rPr>
          <w:rFonts w:ascii="Times New Roman" w:eastAsia="Times New Roman" w:hAnsi="Times New Roman" w:cs="Times New Roman"/>
          <w:sz w:val="20"/>
          <w:szCs w:val="20"/>
        </w:rPr>
        <w:t>for the individual</w:t>
      </w:r>
      <w:r w:rsidR="00F75EFC">
        <w:rPr>
          <w:rFonts w:ascii="Times New Roman" w:eastAsia="Times New Roman" w:hAnsi="Times New Roman" w:cs="Times New Roman"/>
          <w:sz w:val="20"/>
          <w:szCs w:val="20"/>
        </w:rPr>
        <w:t xml:space="preserve"> charities </w:t>
      </w:r>
      <w:r w:rsidR="00BA519F">
        <w:rPr>
          <w:rFonts w:ascii="Times New Roman" w:eastAsia="Times New Roman" w:hAnsi="Times New Roman" w:cs="Times New Roman"/>
          <w:sz w:val="20"/>
          <w:szCs w:val="20"/>
        </w:rPr>
        <w:t xml:space="preserve">and hospitals were analyzed, there was </w:t>
      </w:r>
      <w:r w:rsidR="00F75EFC" w:rsidRPr="00B706EA">
        <w:rPr>
          <w:rFonts w:ascii="Times New Roman" w:eastAsia="Times New Roman" w:hAnsi="Times New Roman" w:cs="Times New Roman"/>
          <w:sz w:val="20"/>
          <w:szCs w:val="20"/>
        </w:rPr>
        <w:t>much variation</w:t>
      </w:r>
      <w:r w:rsidR="009341C0">
        <w:rPr>
          <w:rFonts w:ascii="Times New Roman" w:eastAsia="Times New Roman" w:hAnsi="Times New Roman" w:cs="Times New Roman"/>
          <w:sz w:val="20"/>
          <w:szCs w:val="20"/>
        </w:rPr>
        <w:t xml:space="preserve"> across </w:t>
      </w:r>
      <w:r w:rsidR="00F75EFC" w:rsidRPr="00B706EA">
        <w:rPr>
          <w:rFonts w:ascii="Times New Roman" w:eastAsia="Times New Roman" w:hAnsi="Times New Roman" w:cs="Times New Roman"/>
          <w:sz w:val="20"/>
          <w:szCs w:val="20"/>
        </w:rPr>
        <w:t>years within eac</w:t>
      </w:r>
      <w:r w:rsidR="00BA519F">
        <w:rPr>
          <w:rFonts w:ascii="Times New Roman" w:eastAsia="Times New Roman" w:hAnsi="Times New Roman" w:cs="Times New Roman"/>
          <w:sz w:val="20"/>
          <w:szCs w:val="20"/>
        </w:rPr>
        <w:t xml:space="preserve">h charity, and </w:t>
      </w:r>
      <w:r w:rsidR="00F75EFC" w:rsidRPr="00B706EA">
        <w:rPr>
          <w:rFonts w:ascii="Times New Roman" w:eastAsia="Times New Roman" w:hAnsi="Times New Roman" w:cs="Times New Roman"/>
          <w:sz w:val="20"/>
          <w:szCs w:val="20"/>
        </w:rPr>
        <w:t>variation across charities of similar sizes. This is not surprising given the vastly different nature of charities, and the impact of economic change on the ability of charities to receive donations for operating revenue.</w:t>
      </w:r>
      <w:r w:rsidR="00BA519F">
        <w:rPr>
          <w:rFonts w:ascii="Times New Roman" w:eastAsia="Times New Roman" w:hAnsi="Times New Roman" w:cs="Times New Roman"/>
          <w:sz w:val="20"/>
          <w:szCs w:val="20"/>
        </w:rPr>
        <w:t xml:space="preserve"> Also, </w:t>
      </w:r>
      <w:r w:rsidR="00A30117">
        <w:rPr>
          <w:rFonts w:ascii="Times New Roman" w:eastAsia="Times New Roman" w:hAnsi="Times New Roman" w:cs="Times New Roman"/>
          <w:sz w:val="20"/>
          <w:szCs w:val="20"/>
        </w:rPr>
        <w:t xml:space="preserve">although </w:t>
      </w:r>
      <w:r w:rsidR="00BA519F">
        <w:rPr>
          <w:rFonts w:ascii="Times New Roman" w:eastAsia="Times New Roman" w:hAnsi="Times New Roman" w:cs="Times New Roman"/>
          <w:sz w:val="20"/>
          <w:szCs w:val="20"/>
        </w:rPr>
        <w:t>many charities reported negative OCF</w:t>
      </w:r>
      <w:r w:rsidR="009341C0">
        <w:rPr>
          <w:rFonts w:ascii="Times New Roman" w:eastAsia="Times New Roman" w:hAnsi="Times New Roman" w:cs="Times New Roman"/>
          <w:sz w:val="20"/>
          <w:szCs w:val="20"/>
        </w:rPr>
        <w:t xml:space="preserve">, only one hospital reported negative OCF.  </w:t>
      </w:r>
      <w:r w:rsidR="00BA519F">
        <w:rPr>
          <w:rFonts w:ascii="Times New Roman" w:eastAsia="Times New Roman" w:hAnsi="Times New Roman" w:cs="Times New Roman"/>
          <w:sz w:val="20"/>
          <w:szCs w:val="20"/>
        </w:rPr>
        <w:t xml:space="preserve">Hospitals tended to have larger OCF and larger net purchases of PPE.  The negative cash flows </w:t>
      </w:r>
      <w:r w:rsidR="009341C0">
        <w:rPr>
          <w:rFonts w:ascii="Times New Roman" w:eastAsia="Times New Roman" w:hAnsi="Times New Roman" w:cs="Times New Roman"/>
          <w:sz w:val="20"/>
          <w:szCs w:val="20"/>
        </w:rPr>
        <w:t xml:space="preserve">of charities </w:t>
      </w:r>
      <w:r w:rsidR="00BA519F">
        <w:rPr>
          <w:rFonts w:ascii="Times New Roman" w:eastAsia="Times New Roman" w:hAnsi="Times New Roman" w:cs="Times New Roman"/>
          <w:sz w:val="20"/>
          <w:szCs w:val="20"/>
        </w:rPr>
        <w:t>may have dragged down the averages</w:t>
      </w:r>
      <w:r w:rsidR="00A30117">
        <w:rPr>
          <w:rFonts w:ascii="Times New Roman" w:eastAsia="Times New Roman" w:hAnsi="Times New Roman" w:cs="Times New Roman"/>
          <w:sz w:val="20"/>
          <w:szCs w:val="20"/>
        </w:rPr>
        <w:t>, however, even i</w:t>
      </w:r>
      <w:r w:rsidR="009341C0">
        <w:rPr>
          <w:rFonts w:ascii="Times New Roman" w:eastAsia="Times New Roman" w:hAnsi="Times New Roman" w:cs="Times New Roman"/>
          <w:sz w:val="20"/>
          <w:szCs w:val="20"/>
        </w:rPr>
        <w:t xml:space="preserve">f we removed the ones </w:t>
      </w:r>
      <w:r w:rsidR="00A30117">
        <w:rPr>
          <w:rFonts w:ascii="Times New Roman" w:eastAsia="Times New Roman" w:hAnsi="Times New Roman" w:cs="Times New Roman"/>
          <w:sz w:val="20"/>
          <w:szCs w:val="20"/>
        </w:rPr>
        <w:t xml:space="preserve">with the negative cash flows, the remaining OCF </w:t>
      </w:r>
      <w:r w:rsidR="009341C0">
        <w:rPr>
          <w:rFonts w:ascii="Times New Roman" w:eastAsia="Times New Roman" w:hAnsi="Times New Roman" w:cs="Times New Roman"/>
          <w:sz w:val="20"/>
          <w:szCs w:val="20"/>
        </w:rPr>
        <w:t xml:space="preserve">for charities </w:t>
      </w:r>
      <w:r w:rsidR="00A30117">
        <w:rPr>
          <w:rFonts w:ascii="Times New Roman" w:eastAsia="Times New Roman" w:hAnsi="Times New Roman" w:cs="Times New Roman"/>
          <w:sz w:val="20"/>
          <w:szCs w:val="20"/>
        </w:rPr>
        <w:t xml:space="preserve">would have been much smaller than the OCF for hospitals.  Hospitals </w:t>
      </w:r>
      <w:r w:rsidR="009341C0">
        <w:rPr>
          <w:rFonts w:ascii="Times New Roman" w:eastAsia="Times New Roman" w:hAnsi="Times New Roman" w:cs="Times New Roman"/>
          <w:sz w:val="20"/>
          <w:szCs w:val="20"/>
        </w:rPr>
        <w:t xml:space="preserve">had larger OCF in their denominators, yet as shown in the tables below, </w:t>
      </w:r>
      <w:r w:rsidR="00087769">
        <w:rPr>
          <w:rFonts w:ascii="Times New Roman" w:eastAsia="Times New Roman" w:hAnsi="Times New Roman" w:cs="Times New Roman"/>
          <w:sz w:val="20"/>
          <w:szCs w:val="20"/>
        </w:rPr>
        <w:t xml:space="preserve">they </w:t>
      </w:r>
      <w:r w:rsidR="009341C0">
        <w:rPr>
          <w:rFonts w:ascii="Times New Roman" w:eastAsia="Times New Roman" w:hAnsi="Times New Roman" w:cs="Times New Roman"/>
          <w:sz w:val="20"/>
          <w:szCs w:val="20"/>
        </w:rPr>
        <w:t xml:space="preserve">experienced a greater impact when PPE purchases and sales were reclassified as operating activities. </w:t>
      </w:r>
    </w:p>
    <w:p w:rsidR="00F75EFC" w:rsidRPr="00321031" w:rsidRDefault="00F75EFC" w:rsidP="00F75EFC">
      <w:pPr>
        <w:ind w:firstLine="720"/>
        <w:jc w:val="both"/>
        <w:rPr>
          <w:rFonts w:ascii="Times New Roman" w:eastAsia="Times New Roman" w:hAnsi="Times New Roman" w:cs="Times New Roman"/>
          <w:sz w:val="20"/>
          <w:szCs w:val="20"/>
        </w:rPr>
      </w:pPr>
    </w:p>
    <w:p w:rsidR="00E0091A" w:rsidRDefault="00177696" w:rsidP="000E4548">
      <w:pPr>
        <w:ind w:firstLine="720"/>
        <w:jc w:val="both"/>
        <w:rPr>
          <w:rFonts w:ascii="Times New Roman" w:eastAsia="Times New Roman" w:hAnsi="Times New Roman" w:cs="Times New Roman"/>
          <w:sz w:val="20"/>
          <w:szCs w:val="20"/>
        </w:rPr>
      </w:pPr>
      <w:r w:rsidRPr="00B706EA">
        <w:rPr>
          <w:rFonts w:ascii="Times New Roman" w:eastAsia="Times New Roman" w:hAnsi="Times New Roman" w:cs="Times New Roman"/>
          <w:b/>
          <w:sz w:val="20"/>
          <w:szCs w:val="20"/>
        </w:rPr>
        <w:t>Table 1(a)</w:t>
      </w:r>
      <w:r w:rsidR="00305001">
        <w:rPr>
          <w:rFonts w:ascii="Times New Roman" w:eastAsia="Times New Roman" w:hAnsi="Times New Roman" w:cs="Times New Roman"/>
          <w:sz w:val="20"/>
          <w:szCs w:val="20"/>
        </w:rPr>
        <w:t xml:space="preserve"> shows our analysis of 2010 c</w:t>
      </w:r>
      <w:r w:rsidRPr="00B706EA">
        <w:rPr>
          <w:rFonts w:ascii="Times New Roman" w:eastAsia="Times New Roman" w:hAnsi="Times New Roman" w:cs="Times New Roman"/>
          <w:sz w:val="20"/>
          <w:szCs w:val="20"/>
        </w:rPr>
        <w:t>harity data. On aver</w:t>
      </w:r>
      <w:r w:rsidR="00852B61">
        <w:rPr>
          <w:rFonts w:ascii="Times New Roman" w:eastAsia="Times New Roman" w:hAnsi="Times New Roman" w:cs="Times New Roman"/>
          <w:sz w:val="20"/>
          <w:szCs w:val="20"/>
        </w:rPr>
        <w:t xml:space="preserve">age, </w:t>
      </w:r>
      <w:r w:rsidR="00C279E7">
        <w:rPr>
          <w:rFonts w:ascii="Times New Roman" w:eastAsia="Times New Roman" w:hAnsi="Times New Roman" w:cs="Times New Roman"/>
          <w:sz w:val="20"/>
          <w:szCs w:val="20"/>
        </w:rPr>
        <w:t>Old OCF (</w:t>
      </w:r>
      <w:r w:rsidR="003355AB">
        <w:rPr>
          <w:rFonts w:ascii="Times New Roman" w:eastAsia="Times New Roman" w:hAnsi="Times New Roman" w:cs="Times New Roman"/>
          <w:sz w:val="20"/>
          <w:szCs w:val="20"/>
        </w:rPr>
        <w:t xml:space="preserve">or </w:t>
      </w:r>
      <w:r w:rsidR="00C279E7">
        <w:rPr>
          <w:rFonts w:ascii="Times New Roman" w:eastAsia="Times New Roman" w:hAnsi="Times New Roman" w:cs="Times New Roman"/>
          <w:sz w:val="20"/>
          <w:szCs w:val="20"/>
        </w:rPr>
        <w:t>currently reported operating cash flow)</w:t>
      </w:r>
      <w:r w:rsidRPr="00B706EA">
        <w:rPr>
          <w:rFonts w:ascii="Times New Roman" w:eastAsia="Times New Roman" w:hAnsi="Times New Roman" w:cs="Times New Roman"/>
          <w:sz w:val="20"/>
          <w:szCs w:val="20"/>
        </w:rPr>
        <w:t xml:space="preserve"> is $11,021,284, PPE Purc</w:t>
      </w:r>
      <w:r w:rsidR="00C279E7">
        <w:rPr>
          <w:rFonts w:ascii="Times New Roman" w:eastAsia="Times New Roman" w:hAnsi="Times New Roman" w:cs="Times New Roman"/>
          <w:sz w:val="20"/>
          <w:szCs w:val="20"/>
        </w:rPr>
        <w:t xml:space="preserve">hases is $18, 226, 733, and PPE </w:t>
      </w:r>
      <w:r w:rsidRPr="00B706EA">
        <w:rPr>
          <w:rFonts w:ascii="Times New Roman" w:eastAsia="Times New Roman" w:hAnsi="Times New Roman" w:cs="Times New Roman"/>
          <w:sz w:val="20"/>
          <w:szCs w:val="20"/>
        </w:rPr>
        <w:t xml:space="preserve">sales is $655,056. Based on the three items, we calculated what would have been reported under the proposed new standard, i.e., New OCF. The average </w:t>
      </w:r>
      <w:r w:rsidR="00852B61">
        <w:rPr>
          <w:rFonts w:ascii="Times New Roman" w:eastAsia="Times New Roman" w:hAnsi="Times New Roman" w:cs="Times New Roman"/>
          <w:sz w:val="20"/>
          <w:szCs w:val="20"/>
        </w:rPr>
        <w:t>New OCF</w:t>
      </w:r>
      <w:r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lastRenderedPageBreak/>
        <w:t xml:space="preserve">is -$6,311,863.  The column PPE% reports the magnitude of net PPE purchase as a percentage of Old OCF. The average change would have been 135%. </w:t>
      </w:r>
      <w:r w:rsidR="001530A7">
        <w:rPr>
          <w:rFonts w:ascii="Times New Roman" w:eastAsia="Times New Roman" w:hAnsi="Times New Roman" w:cs="Times New Roman"/>
          <w:sz w:val="20"/>
          <w:szCs w:val="20"/>
        </w:rPr>
        <w:t>The p</w:t>
      </w:r>
      <w:r w:rsidRPr="00B706EA">
        <w:rPr>
          <w:rFonts w:ascii="Times New Roman" w:eastAsia="Times New Roman" w:hAnsi="Times New Roman" w:cs="Times New Roman"/>
          <w:sz w:val="20"/>
          <w:szCs w:val="20"/>
        </w:rPr>
        <w:t xml:space="preserve">aired </w:t>
      </w:r>
      <w:r w:rsidR="00A54637">
        <w:rPr>
          <w:rFonts w:ascii="Times New Roman" w:eastAsia="Times New Roman" w:hAnsi="Times New Roman" w:cs="Times New Roman"/>
          <w:sz w:val="20"/>
          <w:szCs w:val="20"/>
        </w:rPr>
        <w:t>t-test</w:t>
      </w:r>
      <w:r w:rsidRPr="00B706EA">
        <w:rPr>
          <w:rFonts w:ascii="Times New Roman" w:eastAsia="Times New Roman" w:hAnsi="Times New Roman" w:cs="Times New Roman"/>
          <w:sz w:val="20"/>
          <w:szCs w:val="20"/>
        </w:rPr>
        <w:t xml:space="preserve"> between Old OCF and New OCF</w:t>
      </w:r>
      <w:r w:rsidR="00C279E7">
        <w:rPr>
          <w:rFonts w:ascii="Times New Roman" w:eastAsia="Times New Roman" w:hAnsi="Times New Roman" w:cs="Times New Roman"/>
          <w:sz w:val="20"/>
          <w:szCs w:val="20"/>
        </w:rPr>
        <w:t xml:space="preserve"> shows a significance level at </w:t>
      </w:r>
      <w:r w:rsidRPr="00B706EA">
        <w:rPr>
          <w:rFonts w:ascii="Times New Roman" w:eastAsia="Times New Roman" w:hAnsi="Times New Roman" w:cs="Times New Roman"/>
          <w:sz w:val="20"/>
          <w:szCs w:val="20"/>
        </w:rPr>
        <w:t>4% (t=0.03852).</w:t>
      </w:r>
    </w:p>
    <w:p w:rsidR="00C61B75" w:rsidRPr="00B706EA" w:rsidRDefault="00C61B75">
      <w:pPr>
        <w:ind w:firstLine="720"/>
        <w:rPr>
          <w:rFonts w:ascii="Times New Roman" w:hAnsi="Times New Roman" w:cs="Times New Roman"/>
          <w:sz w:val="20"/>
          <w:szCs w:val="20"/>
        </w:rPr>
      </w:pPr>
    </w:p>
    <w:tbl>
      <w:tblPr>
        <w:tblStyle w:val="11"/>
        <w:tblW w:w="91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36"/>
        <w:gridCol w:w="1439"/>
        <w:gridCol w:w="1558"/>
        <w:gridCol w:w="1559"/>
        <w:gridCol w:w="1559"/>
      </w:tblGrid>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1(a)</w:t>
            </w:r>
          </w:p>
        </w:tc>
        <w:tc>
          <w:tcPr>
            <w:tcW w:w="183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Charities</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170" w:type="dxa"/>
          </w:tcPr>
          <w:p w:rsidR="00E0091A" w:rsidRPr="00B706EA" w:rsidRDefault="00E0091A">
            <w:pPr>
              <w:contextualSpacing w:val="0"/>
              <w:rPr>
                <w:rFonts w:ascii="Times New Roman" w:hAnsi="Times New Roman" w:cs="Times New Roman"/>
                <w:sz w:val="20"/>
                <w:szCs w:val="20"/>
              </w:rPr>
            </w:pPr>
          </w:p>
        </w:tc>
        <w:tc>
          <w:tcPr>
            <w:tcW w:w="183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83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11,021,284</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(18,226,733)</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655,056</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(6,411,863)</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135%</w:t>
            </w:r>
          </w:p>
        </w:tc>
      </w:tr>
      <w:tr w:rsidR="00E0091A" w:rsidRPr="00B706EA">
        <w:tc>
          <w:tcPr>
            <w:tcW w:w="1170" w:type="dxa"/>
          </w:tcPr>
          <w:p w:rsidR="00E0091A" w:rsidRPr="00B706EA" w:rsidRDefault="00A54637">
            <w:pPr>
              <w:contextualSpacing w:val="0"/>
              <w:rPr>
                <w:rFonts w:ascii="Times New Roman" w:hAnsi="Times New Roman" w:cs="Times New Roman"/>
                <w:sz w:val="20"/>
                <w:szCs w:val="20"/>
              </w:rPr>
            </w:pPr>
            <w:r>
              <w:rPr>
                <w:rFonts w:ascii="Times New Roman" w:eastAsia="Times New Roman" w:hAnsi="Times New Roman" w:cs="Times New Roman"/>
                <w:sz w:val="20"/>
                <w:szCs w:val="20"/>
              </w:rPr>
              <w:t>t-</w:t>
            </w:r>
            <w:r w:rsidR="00177696" w:rsidRPr="00B706EA">
              <w:rPr>
                <w:rFonts w:ascii="Times New Roman" w:eastAsia="Times New Roman" w:hAnsi="Times New Roman" w:cs="Times New Roman"/>
                <w:sz w:val="20"/>
                <w:szCs w:val="20"/>
              </w:rPr>
              <w:t>test</w:t>
            </w:r>
          </w:p>
        </w:tc>
        <w:tc>
          <w:tcPr>
            <w:tcW w:w="183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0.03852</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Table 1(b)</w:t>
      </w:r>
      <w:r w:rsidR="00305001">
        <w:rPr>
          <w:rFonts w:ascii="Times New Roman" w:eastAsia="Times New Roman" w:hAnsi="Times New Roman" w:cs="Times New Roman"/>
          <w:sz w:val="20"/>
          <w:szCs w:val="20"/>
        </w:rPr>
        <w:t xml:space="preserve"> presents our analysis of 2010 h</w:t>
      </w:r>
      <w:r w:rsidRPr="00B706EA">
        <w:rPr>
          <w:rFonts w:ascii="Times New Roman" w:eastAsia="Times New Roman" w:hAnsi="Times New Roman" w:cs="Times New Roman"/>
          <w:sz w:val="20"/>
          <w:szCs w:val="20"/>
        </w:rPr>
        <w:t>ospital</w:t>
      </w:r>
      <w:r w:rsidR="00C279E7">
        <w:rPr>
          <w:rFonts w:ascii="Times New Roman" w:eastAsia="Times New Roman" w:hAnsi="Times New Roman" w:cs="Times New Roman"/>
          <w:sz w:val="20"/>
          <w:szCs w:val="20"/>
        </w:rPr>
        <w:t xml:space="preserve"> data. On average, the Old OCF</w:t>
      </w:r>
      <w:r w:rsidRPr="00B706EA">
        <w:rPr>
          <w:rFonts w:ascii="Times New Roman" w:eastAsia="Times New Roman" w:hAnsi="Times New Roman" w:cs="Times New Roman"/>
          <w:sz w:val="20"/>
          <w:szCs w:val="20"/>
        </w:rPr>
        <w:t xml:space="preserve"> is</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$253,506,000</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and</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PPE Purchases is</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$199,728,000. We did not calculate the average PPE sales data as typically PPE purchases were reported on a net basis, PPE purchases minus PPE sales.  (PPE sales were not reported separately on most financial statements.)  The</w:t>
      </w:r>
      <w:r w:rsidR="0097446B">
        <w:rPr>
          <w:rFonts w:ascii="Times New Roman" w:eastAsia="Times New Roman" w:hAnsi="Times New Roman" w:cs="Times New Roman"/>
          <w:sz w:val="20"/>
          <w:szCs w:val="20"/>
        </w:rPr>
        <w:t xml:space="preserve"> average New OCF</w:t>
      </w:r>
      <w:r w:rsidRPr="00B706EA">
        <w:rPr>
          <w:rFonts w:ascii="Times New Roman" w:eastAsia="Times New Roman" w:hAnsi="Times New Roman" w:cs="Times New Roman"/>
          <w:sz w:val="20"/>
          <w:szCs w:val="20"/>
        </w:rPr>
        <w:t xml:space="preserve"> is</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$53,879,430, an 89% change from the Old OCF.</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 xml:space="preserve">The paired </w:t>
      </w:r>
      <w:r w:rsidR="00A54637">
        <w:rPr>
          <w:rFonts w:ascii="Times New Roman" w:eastAsia="Times New Roman" w:hAnsi="Times New Roman" w:cs="Times New Roman"/>
          <w:sz w:val="20"/>
          <w:szCs w:val="20"/>
        </w:rPr>
        <w:t>t-test</w:t>
      </w:r>
      <w:r w:rsidR="00A54637"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for hospitals is more significant than for charities (t=0.00000002).</w:t>
      </w:r>
    </w:p>
    <w:p w:rsidR="00E0091A" w:rsidRPr="00B706EA" w:rsidRDefault="00E0091A">
      <w:pPr>
        <w:rPr>
          <w:rFonts w:ascii="Times New Roman" w:hAnsi="Times New Roman" w:cs="Times New Roman"/>
          <w:sz w:val="20"/>
          <w:szCs w:val="20"/>
        </w:rPr>
      </w:pPr>
    </w:p>
    <w:tbl>
      <w:tblPr>
        <w:tblStyle w:val="10"/>
        <w:tblW w:w="891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2070"/>
        <w:gridCol w:w="1530"/>
        <w:gridCol w:w="1440"/>
        <w:gridCol w:w="1496"/>
        <w:gridCol w:w="1227"/>
      </w:tblGrid>
      <w:tr w:rsidR="00E0091A" w:rsidRPr="00B706EA">
        <w:tc>
          <w:tcPr>
            <w:tcW w:w="11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1(b)</w:t>
            </w:r>
          </w:p>
        </w:tc>
        <w:tc>
          <w:tcPr>
            <w:tcW w:w="20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Hospitals (thousands)</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227" w:type="dxa"/>
          </w:tcPr>
          <w:p w:rsidR="00E0091A" w:rsidRPr="00B706EA" w:rsidRDefault="00E0091A">
            <w:pPr>
              <w:contextualSpacing w:val="0"/>
              <w:rPr>
                <w:rFonts w:ascii="Times New Roman" w:hAnsi="Times New Roman" w:cs="Times New Roman"/>
                <w:sz w:val="20"/>
                <w:szCs w:val="20"/>
              </w:rPr>
            </w:pPr>
          </w:p>
        </w:tc>
      </w:tr>
      <w:tr w:rsidR="00E0091A" w:rsidRPr="00B706EA">
        <w:tc>
          <w:tcPr>
            <w:tcW w:w="1147" w:type="dxa"/>
          </w:tcPr>
          <w:p w:rsidR="00E0091A" w:rsidRPr="00B706EA" w:rsidRDefault="00E0091A">
            <w:pPr>
              <w:contextualSpacing w:val="0"/>
              <w:rPr>
                <w:rFonts w:ascii="Times New Roman" w:hAnsi="Times New Roman" w:cs="Times New Roman"/>
                <w:sz w:val="20"/>
                <w:szCs w:val="20"/>
              </w:rPr>
            </w:pPr>
          </w:p>
        </w:tc>
        <w:tc>
          <w:tcPr>
            <w:tcW w:w="20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22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1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20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253,506</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(199,728)</w:t>
            </w: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53,879</w:t>
            </w:r>
          </w:p>
        </w:tc>
        <w:tc>
          <w:tcPr>
            <w:tcW w:w="122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89%</w:t>
            </w:r>
          </w:p>
        </w:tc>
      </w:tr>
      <w:tr w:rsidR="00E0091A" w:rsidRPr="00B706EA">
        <w:tc>
          <w:tcPr>
            <w:tcW w:w="1147" w:type="dxa"/>
          </w:tcPr>
          <w:p w:rsidR="00E0091A" w:rsidRPr="00B706EA" w:rsidRDefault="00A54637">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20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0.00000002</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227"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 xml:space="preserve">Table 2(a) </w:t>
      </w:r>
      <w:r w:rsidR="00305001">
        <w:rPr>
          <w:rFonts w:ascii="Times New Roman" w:eastAsia="Times New Roman" w:hAnsi="Times New Roman" w:cs="Times New Roman"/>
          <w:sz w:val="20"/>
          <w:szCs w:val="20"/>
        </w:rPr>
        <w:t>shows our analysis of 2011 c</w:t>
      </w:r>
      <w:r w:rsidRPr="00B706EA">
        <w:rPr>
          <w:rFonts w:ascii="Times New Roman" w:eastAsia="Times New Roman" w:hAnsi="Times New Roman" w:cs="Times New Roman"/>
          <w:sz w:val="20"/>
          <w:szCs w:val="20"/>
        </w:rPr>
        <w:t xml:space="preserve">harity data. </w:t>
      </w:r>
      <w:r w:rsidR="003355AB">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 xml:space="preserve">The </w:t>
      </w:r>
      <w:r w:rsidR="0097446B">
        <w:rPr>
          <w:rFonts w:ascii="Times New Roman" w:eastAsia="Times New Roman" w:hAnsi="Times New Roman" w:cs="Times New Roman"/>
          <w:sz w:val="20"/>
          <w:szCs w:val="20"/>
        </w:rPr>
        <w:t>average N</w:t>
      </w:r>
      <w:r w:rsidRPr="00B706EA">
        <w:rPr>
          <w:rFonts w:ascii="Times New Roman" w:eastAsia="Times New Roman" w:hAnsi="Times New Roman" w:cs="Times New Roman"/>
          <w:sz w:val="20"/>
          <w:szCs w:val="20"/>
        </w:rPr>
        <w:t>ew</w:t>
      </w:r>
      <w:r w:rsidR="0097446B">
        <w:rPr>
          <w:rFonts w:ascii="Times New Roman" w:eastAsia="Times New Roman" w:hAnsi="Times New Roman" w:cs="Times New Roman"/>
          <w:sz w:val="20"/>
          <w:szCs w:val="20"/>
        </w:rPr>
        <w:t xml:space="preserve"> OCF</w:t>
      </w:r>
      <w:r w:rsidR="003355AB">
        <w:rPr>
          <w:rFonts w:ascii="Times New Roman" w:eastAsia="Times New Roman" w:hAnsi="Times New Roman" w:cs="Times New Roman"/>
          <w:sz w:val="20"/>
          <w:szCs w:val="20"/>
        </w:rPr>
        <w:t xml:space="preserve"> is -</w:t>
      </w:r>
      <w:r w:rsidRPr="00B706EA">
        <w:rPr>
          <w:rFonts w:ascii="Times New Roman" w:eastAsia="Times New Roman" w:hAnsi="Times New Roman" w:cs="Times New Roman"/>
          <w:sz w:val="20"/>
          <w:szCs w:val="20"/>
        </w:rPr>
        <w:t xml:space="preserve">$3,577,287, a </w:t>
      </w:r>
      <w:r w:rsidR="003355AB">
        <w:rPr>
          <w:rFonts w:ascii="Times New Roman" w:eastAsia="Times New Roman" w:hAnsi="Times New Roman" w:cs="Times New Roman"/>
          <w:sz w:val="20"/>
          <w:szCs w:val="20"/>
        </w:rPr>
        <w:t>107% change from the Old OCF.  The p</w:t>
      </w:r>
      <w:r w:rsidRPr="00B706EA">
        <w:rPr>
          <w:rFonts w:ascii="Times New Roman" w:eastAsia="Times New Roman" w:hAnsi="Times New Roman" w:cs="Times New Roman"/>
          <w:sz w:val="20"/>
          <w:szCs w:val="20"/>
        </w:rPr>
        <w:t xml:space="preserve">aired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shows that the change in reported operating cash flow is significant at the 2% level</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 xml:space="preserve">(t=0.02623).  For both years, although fixed assets purchases vary among charities, we did not find any overly large amount.  We didn’t eliminate any outliers in our paired </w:t>
      </w:r>
      <w:r w:rsidR="000D2766">
        <w:rPr>
          <w:rFonts w:ascii="Times New Roman" w:eastAsia="Times New Roman" w:hAnsi="Times New Roman" w:cs="Times New Roman"/>
          <w:sz w:val="20"/>
          <w:szCs w:val="20"/>
        </w:rPr>
        <w:t>t-test</w:t>
      </w:r>
      <w:r w:rsidRPr="00B706EA">
        <w:rPr>
          <w:rFonts w:ascii="Times New Roman" w:eastAsia="Times New Roman" w:hAnsi="Times New Roman" w:cs="Times New Roman"/>
          <w:sz w:val="20"/>
          <w:szCs w:val="20"/>
        </w:rPr>
        <w:t>.</w:t>
      </w:r>
    </w:p>
    <w:p w:rsidR="00E0091A" w:rsidRPr="00B706EA" w:rsidRDefault="00E0091A">
      <w:pPr>
        <w:ind w:firstLine="720"/>
        <w:rPr>
          <w:rFonts w:ascii="Times New Roman" w:hAnsi="Times New Roman" w:cs="Times New Roman"/>
          <w:sz w:val="20"/>
          <w:szCs w:val="20"/>
        </w:rPr>
      </w:pPr>
    </w:p>
    <w:tbl>
      <w:tblPr>
        <w:tblStyle w:val="9"/>
        <w:tblW w:w="924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77"/>
        <w:gridCol w:w="1439"/>
        <w:gridCol w:w="1558"/>
        <w:gridCol w:w="1559"/>
        <w:gridCol w:w="1559"/>
      </w:tblGrid>
      <w:tr w:rsidR="00E0091A" w:rsidRPr="00B706EA">
        <w:tc>
          <w:tcPr>
            <w:tcW w:w="135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2(a)</w:t>
            </w:r>
          </w:p>
        </w:tc>
        <w:tc>
          <w:tcPr>
            <w:tcW w:w="177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Charities</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350" w:type="dxa"/>
          </w:tcPr>
          <w:p w:rsidR="00E0091A" w:rsidRPr="00B706EA" w:rsidRDefault="00E0091A">
            <w:pPr>
              <w:contextualSpacing w:val="0"/>
              <w:rPr>
                <w:rFonts w:ascii="Times New Roman" w:hAnsi="Times New Roman" w:cs="Times New Roman"/>
                <w:sz w:val="20"/>
                <w:szCs w:val="20"/>
              </w:rPr>
            </w:pPr>
          </w:p>
        </w:tc>
        <w:tc>
          <w:tcPr>
            <w:tcW w:w="177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35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77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10,516,792</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(16,135,328)</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1,247,006</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(3,577,287)</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107%</w:t>
            </w:r>
          </w:p>
        </w:tc>
      </w:tr>
      <w:tr w:rsidR="00E0091A" w:rsidRPr="00B706EA">
        <w:tc>
          <w:tcPr>
            <w:tcW w:w="135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177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0.02623</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ind w:firstLine="720"/>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 xml:space="preserve">Table 2(b) </w:t>
      </w:r>
      <w:r w:rsidR="00305001">
        <w:rPr>
          <w:rFonts w:ascii="Times New Roman" w:eastAsia="Times New Roman" w:hAnsi="Times New Roman" w:cs="Times New Roman"/>
          <w:sz w:val="20"/>
          <w:szCs w:val="20"/>
        </w:rPr>
        <w:t>presents our analysis of 2011 h</w:t>
      </w:r>
      <w:r w:rsidRPr="00B706EA">
        <w:rPr>
          <w:rFonts w:ascii="Times New Roman" w:eastAsia="Times New Roman" w:hAnsi="Times New Roman" w:cs="Times New Roman"/>
          <w:sz w:val="20"/>
          <w:szCs w:val="20"/>
        </w:rPr>
        <w:t>ospital data.  The average New OCF is</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$28,782, 000, a 133% change from the Old OCF</w:t>
      </w:r>
      <w:r w:rsidRPr="00B706EA">
        <w:rPr>
          <w:rFonts w:ascii="Times New Roman" w:eastAsia="Times New Roman" w:hAnsi="Times New Roman" w:cs="Times New Roman"/>
          <w:b/>
          <w:sz w:val="20"/>
          <w:szCs w:val="20"/>
        </w:rPr>
        <w:t xml:space="preserve">.  </w:t>
      </w:r>
      <w:r w:rsidR="003355AB">
        <w:rPr>
          <w:rFonts w:ascii="Times New Roman" w:eastAsia="Times New Roman" w:hAnsi="Times New Roman" w:cs="Times New Roman"/>
          <w:sz w:val="20"/>
          <w:szCs w:val="20"/>
        </w:rPr>
        <w:t xml:space="preserve">The paired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 xml:space="preserve">between Old </w:t>
      </w:r>
      <w:r w:rsidR="003355AB">
        <w:rPr>
          <w:rFonts w:ascii="Times New Roman" w:eastAsia="Times New Roman" w:hAnsi="Times New Roman" w:cs="Times New Roman"/>
          <w:sz w:val="20"/>
          <w:szCs w:val="20"/>
        </w:rPr>
        <w:t xml:space="preserve">OCF and New OCF is (t=0.00000002).  It is more significant </w:t>
      </w:r>
      <w:r w:rsidR="0058678E">
        <w:rPr>
          <w:rFonts w:ascii="Times New Roman" w:eastAsia="Times New Roman" w:hAnsi="Times New Roman" w:cs="Times New Roman"/>
          <w:sz w:val="20"/>
          <w:szCs w:val="20"/>
        </w:rPr>
        <w:t xml:space="preserve">for hospitals </w:t>
      </w:r>
      <w:r w:rsidR="003355AB">
        <w:rPr>
          <w:rFonts w:ascii="Times New Roman" w:eastAsia="Times New Roman" w:hAnsi="Times New Roman" w:cs="Times New Roman"/>
          <w:sz w:val="20"/>
          <w:szCs w:val="20"/>
        </w:rPr>
        <w:t>than for charities.</w:t>
      </w:r>
    </w:p>
    <w:p w:rsidR="00E0091A" w:rsidRPr="00B706EA" w:rsidRDefault="00E0091A">
      <w:pPr>
        <w:ind w:firstLine="720"/>
        <w:rPr>
          <w:rFonts w:ascii="Times New Roman" w:hAnsi="Times New Roman" w:cs="Times New Roman"/>
          <w:sz w:val="20"/>
          <w:szCs w:val="20"/>
        </w:rPr>
      </w:pPr>
    </w:p>
    <w:tbl>
      <w:tblPr>
        <w:tblStyle w:val="8"/>
        <w:tblW w:w="924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047"/>
        <w:gridCol w:w="1530"/>
        <w:gridCol w:w="1440"/>
        <w:gridCol w:w="1496"/>
        <w:gridCol w:w="1559"/>
      </w:tblGrid>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2(b)</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Hospitals (thousands)</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170" w:type="dxa"/>
          </w:tcPr>
          <w:p w:rsidR="00E0091A" w:rsidRPr="00B706EA" w:rsidRDefault="00E0091A">
            <w:pPr>
              <w:contextualSpacing w:val="0"/>
              <w:rPr>
                <w:rFonts w:ascii="Times New Roman" w:hAnsi="Times New Roman" w:cs="Times New Roman"/>
                <w:sz w:val="20"/>
                <w:szCs w:val="20"/>
              </w:rPr>
            </w:pP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263,388</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(235,036)</w:t>
            </w: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28,782</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133%</w:t>
            </w:r>
          </w:p>
        </w:tc>
      </w:tr>
      <w:tr w:rsidR="00E0091A" w:rsidRPr="00B706EA">
        <w:tc>
          <w:tcPr>
            <w:tcW w:w="117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0.00000002</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ind w:firstLine="720"/>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 xml:space="preserve">Table 3(a) </w:t>
      </w:r>
      <w:r w:rsidR="00305001">
        <w:rPr>
          <w:rFonts w:ascii="Times New Roman" w:eastAsia="Times New Roman" w:hAnsi="Times New Roman" w:cs="Times New Roman"/>
          <w:sz w:val="20"/>
          <w:szCs w:val="20"/>
        </w:rPr>
        <w:t>reports our 2012 analysis for c</w:t>
      </w:r>
      <w:r w:rsidRPr="00B706EA">
        <w:rPr>
          <w:rFonts w:ascii="Times New Roman" w:eastAsia="Times New Roman" w:hAnsi="Times New Roman" w:cs="Times New Roman"/>
          <w:sz w:val="20"/>
          <w:szCs w:val="20"/>
        </w:rPr>
        <w:t xml:space="preserve">harities. The average New OCF is -$6,609,249, a 70% change from the Old OCF.  </w:t>
      </w:r>
      <w:r w:rsidR="003355AB">
        <w:rPr>
          <w:rFonts w:ascii="Times New Roman" w:eastAsia="Times New Roman" w:hAnsi="Times New Roman" w:cs="Times New Roman"/>
          <w:sz w:val="20"/>
          <w:szCs w:val="20"/>
        </w:rPr>
        <w:t>The p</w:t>
      </w:r>
      <w:r w:rsidRPr="00B706EA">
        <w:rPr>
          <w:rFonts w:ascii="Times New Roman" w:eastAsia="Times New Roman" w:hAnsi="Times New Roman" w:cs="Times New Roman"/>
          <w:sz w:val="20"/>
          <w:szCs w:val="20"/>
        </w:rPr>
        <w:t xml:space="preserve">aired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 xml:space="preserve">shows that the change in reported operating cash flow is significant at </w:t>
      </w:r>
      <w:r w:rsidR="000D2766">
        <w:rPr>
          <w:rFonts w:ascii="Times New Roman" w:eastAsia="Times New Roman" w:hAnsi="Times New Roman" w:cs="Times New Roman"/>
          <w:sz w:val="20"/>
          <w:szCs w:val="20"/>
        </w:rPr>
        <w:t>the 6</w:t>
      </w:r>
      <w:r w:rsidRPr="00B706EA">
        <w:rPr>
          <w:rFonts w:ascii="Times New Roman" w:eastAsia="Times New Roman" w:hAnsi="Times New Roman" w:cs="Times New Roman"/>
          <w:sz w:val="20"/>
          <w:szCs w:val="20"/>
        </w:rPr>
        <w:t>% level</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(t=0.05686). A closer look at indivi</w:t>
      </w:r>
      <w:r w:rsidR="00BE7F16">
        <w:rPr>
          <w:rFonts w:ascii="Times New Roman" w:eastAsia="Times New Roman" w:hAnsi="Times New Roman" w:cs="Times New Roman"/>
          <w:sz w:val="20"/>
          <w:szCs w:val="20"/>
        </w:rPr>
        <w:t xml:space="preserve">dual charities </w:t>
      </w:r>
      <w:r w:rsidR="003355AB">
        <w:rPr>
          <w:rFonts w:ascii="Times New Roman" w:eastAsia="Times New Roman" w:hAnsi="Times New Roman" w:cs="Times New Roman"/>
          <w:sz w:val="20"/>
          <w:szCs w:val="20"/>
        </w:rPr>
        <w:t>revealed</w:t>
      </w:r>
      <w:r w:rsidRPr="00B706EA">
        <w:rPr>
          <w:rFonts w:ascii="Times New Roman" w:eastAsia="Times New Roman" w:hAnsi="Times New Roman" w:cs="Times New Roman"/>
          <w:sz w:val="20"/>
          <w:szCs w:val="20"/>
        </w:rPr>
        <w:t xml:space="preserve"> that one overly large PPE purchase drove the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result. Charity #34 had fixed asset purchases</w:t>
      </w:r>
      <w:r w:rsidR="000D2766">
        <w:rPr>
          <w:rFonts w:ascii="Times New Roman" w:eastAsia="Times New Roman" w:hAnsi="Times New Roman" w:cs="Times New Roman"/>
          <w:sz w:val="20"/>
          <w:szCs w:val="20"/>
        </w:rPr>
        <w:t xml:space="preserve"> of $627,800,000. The t</w:t>
      </w:r>
      <w:r w:rsidRPr="00B706EA">
        <w:rPr>
          <w:rFonts w:ascii="Times New Roman" w:eastAsia="Times New Roman" w:hAnsi="Times New Roman" w:cs="Times New Roman"/>
          <w:sz w:val="20"/>
          <w:szCs w:val="20"/>
        </w:rPr>
        <w:t xml:space="preserve"> statistic became .02678 after we remove</w:t>
      </w:r>
      <w:r w:rsidR="003355AB">
        <w:rPr>
          <w:rFonts w:ascii="Times New Roman" w:eastAsia="Times New Roman" w:hAnsi="Times New Roman" w:cs="Times New Roman"/>
          <w:sz w:val="20"/>
          <w:szCs w:val="20"/>
        </w:rPr>
        <w:t>d</w:t>
      </w:r>
      <w:r w:rsidRPr="00B706EA">
        <w:rPr>
          <w:rFonts w:ascii="Times New Roman" w:eastAsia="Times New Roman" w:hAnsi="Times New Roman" w:cs="Times New Roman"/>
          <w:sz w:val="20"/>
          <w:szCs w:val="20"/>
        </w:rPr>
        <w:t xml:space="preserve"> the outlier. </w:t>
      </w:r>
    </w:p>
    <w:p w:rsidR="00E0091A" w:rsidRPr="00B706EA" w:rsidRDefault="00E0091A">
      <w:pPr>
        <w:ind w:firstLine="720"/>
        <w:rPr>
          <w:rFonts w:ascii="Times New Roman" w:hAnsi="Times New Roman" w:cs="Times New Roman"/>
          <w:sz w:val="20"/>
          <w:szCs w:val="20"/>
        </w:rPr>
      </w:pPr>
    </w:p>
    <w:tbl>
      <w:tblPr>
        <w:tblStyle w:val="7"/>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87"/>
        <w:gridCol w:w="1439"/>
        <w:gridCol w:w="1558"/>
        <w:gridCol w:w="1559"/>
        <w:gridCol w:w="1559"/>
      </w:tblGrid>
      <w:tr w:rsidR="00E0091A" w:rsidRPr="00B706EA">
        <w:tc>
          <w:tcPr>
            <w:tcW w:w="135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3(a)</w:t>
            </w: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Charities</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350" w:type="dxa"/>
          </w:tcPr>
          <w:p w:rsidR="00E0091A" w:rsidRPr="00B706EA" w:rsidRDefault="00E0091A">
            <w:pPr>
              <w:contextualSpacing w:val="0"/>
              <w:rPr>
                <w:rFonts w:ascii="Times New Roman" w:hAnsi="Times New Roman" w:cs="Times New Roman"/>
                <w:sz w:val="20"/>
                <w:szCs w:val="20"/>
              </w:rPr>
            </w:pP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35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21,952,566</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(30,378,809)</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1,368,950</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(6,609,249)</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70%</w:t>
            </w:r>
          </w:p>
        </w:tc>
      </w:tr>
      <w:tr w:rsidR="00E0091A" w:rsidRPr="00B706EA">
        <w:tc>
          <w:tcPr>
            <w:tcW w:w="135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0.05686</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ind w:firstLine="720"/>
        <w:rPr>
          <w:rFonts w:ascii="Times New Roman" w:hAnsi="Times New Roman" w:cs="Times New Roman"/>
          <w:sz w:val="20"/>
          <w:szCs w:val="20"/>
        </w:rPr>
      </w:pPr>
    </w:p>
    <w:p w:rsidR="003355AB" w:rsidRDefault="00177696" w:rsidP="000E4548">
      <w:pPr>
        <w:ind w:firstLine="720"/>
        <w:jc w:val="both"/>
        <w:rPr>
          <w:rFonts w:ascii="Times New Roman" w:eastAsia="Times New Roman" w:hAnsi="Times New Roman" w:cs="Times New Roman"/>
          <w:sz w:val="20"/>
          <w:szCs w:val="20"/>
        </w:rPr>
      </w:pPr>
      <w:r w:rsidRPr="00B706EA">
        <w:rPr>
          <w:rFonts w:ascii="Times New Roman" w:eastAsia="Times New Roman" w:hAnsi="Times New Roman" w:cs="Times New Roman"/>
          <w:b/>
          <w:sz w:val="20"/>
          <w:szCs w:val="20"/>
        </w:rPr>
        <w:lastRenderedPageBreak/>
        <w:t xml:space="preserve">Table 3(b) </w:t>
      </w:r>
      <w:r w:rsidR="00305001">
        <w:rPr>
          <w:rFonts w:ascii="Times New Roman" w:eastAsia="Times New Roman" w:hAnsi="Times New Roman" w:cs="Times New Roman"/>
          <w:sz w:val="20"/>
          <w:szCs w:val="20"/>
        </w:rPr>
        <w:t>reports our 2012 analysis of h</w:t>
      </w:r>
      <w:r w:rsidRPr="00B706EA">
        <w:rPr>
          <w:rFonts w:ascii="Times New Roman" w:eastAsia="Times New Roman" w:hAnsi="Times New Roman" w:cs="Times New Roman"/>
          <w:sz w:val="20"/>
          <w:szCs w:val="20"/>
        </w:rPr>
        <w:t>ospitals. On average, New OCF is $38,</w:t>
      </w:r>
      <w:r w:rsidR="0097446B">
        <w:rPr>
          <w:rFonts w:ascii="Times New Roman" w:eastAsia="Times New Roman" w:hAnsi="Times New Roman" w:cs="Times New Roman"/>
          <w:sz w:val="20"/>
          <w:szCs w:val="20"/>
        </w:rPr>
        <w:t>763,000, a 94% change from the O</w:t>
      </w:r>
      <w:r w:rsidRPr="00B706EA">
        <w:rPr>
          <w:rFonts w:ascii="Times New Roman" w:eastAsia="Times New Roman" w:hAnsi="Times New Roman" w:cs="Times New Roman"/>
          <w:sz w:val="20"/>
          <w:szCs w:val="20"/>
        </w:rPr>
        <w:t>ld OCF.</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The average change would hav</w:t>
      </w:r>
      <w:r w:rsidR="00BE7F16">
        <w:rPr>
          <w:rFonts w:ascii="Times New Roman" w:eastAsia="Times New Roman" w:hAnsi="Times New Roman" w:cs="Times New Roman"/>
          <w:sz w:val="20"/>
          <w:szCs w:val="20"/>
        </w:rPr>
        <w:t>e been 186%. A closer look revealed</w:t>
      </w:r>
      <w:r w:rsidRPr="00B706EA">
        <w:rPr>
          <w:rFonts w:ascii="Times New Roman" w:eastAsia="Times New Roman" w:hAnsi="Times New Roman" w:cs="Times New Roman"/>
          <w:sz w:val="20"/>
          <w:szCs w:val="20"/>
        </w:rPr>
        <w:t xml:space="preserve"> that</w:t>
      </w:r>
      <w:r w:rsidR="0058678E">
        <w:rPr>
          <w:rFonts w:ascii="Times New Roman" w:eastAsia="Times New Roman" w:hAnsi="Times New Roman" w:cs="Times New Roman"/>
          <w:sz w:val="20"/>
          <w:szCs w:val="20"/>
        </w:rPr>
        <w:t xml:space="preserve"> Hospitals</w:t>
      </w:r>
      <w:r w:rsidRPr="00B706EA">
        <w:rPr>
          <w:rFonts w:ascii="Times New Roman" w:eastAsia="Times New Roman" w:hAnsi="Times New Roman" w:cs="Times New Roman"/>
          <w:sz w:val="20"/>
          <w:szCs w:val="20"/>
        </w:rPr>
        <w:t xml:space="preserve"> #26 and #37 have over 1000% changes. If we remove these two hospitals, the average change is still large at 94%.</w:t>
      </w:r>
      <w:r w:rsidRPr="00B706EA">
        <w:rPr>
          <w:rFonts w:ascii="Times New Roman" w:eastAsia="Times New Roman" w:hAnsi="Times New Roman" w:cs="Times New Roman"/>
          <w:b/>
          <w:sz w:val="20"/>
          <w:szCs w:val="20"/>
        </w:rPr>
        <w:t xml:space="preserve">  </w:t>
      </w:r>
      <w:r w:rsidR="003355AB">
        <w:rPr>
          <w:rFonts w:ascii="Times New Roman" w:eastAsia="Times New Roman" w:hAnsi="Times New Roman" w:cs="Times New Roman"/>
          <w:sz w:val="20"/>
          <w:szCs w:val="20"/>
        </w:rPr>
        <w:t>The p</w:t>
      </w:r>
      <w:r w:rsidRPr="00B706EA">
        <w:rPr>
          <w:rFonts w:ascii="Times New Roman" w:eastAsia="Times New Roman" w:hAnsi="Times New Roman" w:cs="Times New Roman"/>
          <w:sz w:val="20"/>
          <w:szCs w:val="20"/>
        </w:rPr>
        <w:t xml:space="preserve">aired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shows a significant difference between Old OCF and New OCF (t=0.0000000</w:t>
      </w:r>
      <w:r w:rsidR="003355AB">
        <w:rPr>
          <w:rFonts w:ascii="Times New Roman" w:eastAsia="Times New Roman" w:hAnsi="Times New Roman" w:cs="Times New Roman"/>
          <w:sz w:val="20"/>
          <w:szCs w:val="20"/>
        </w:rPr>
        <w:t>0003). After we removed</w:t>
      </w:r>
      <w:r w:rsidRPr="00B706EA">
        <w:rPr>
          <w:rFonts w:ascii="Times New Roman" w:eastAsia="Times New Roman" w:hAnsi="Times New Roman" w:cs="Times New Roman"/>
          <w:sz w:val="20"/>
          <w:szCs w:val="20"/>
        </w:rPr>
        <w:t xml:space="preserve"> the two largest observations</w:t>
      </w:r>
      <w:r w:rsidR="003355AB">
        <w:rPr>
          <w:rFonts w:ascii="Times New Roman" w:eastAsia="Times New Roman" w:hAnsi="Times New Roman" w:cs="Times New Roman"/>
          <w:sz w:val="20"/>
          <w:szCs w:val="20"/>
        </w:rPr>
        <w:t>, the t statistic became</w:t>
      </w:r>
      <w:r w:rsidRPr="00B706EA">
        <w:rPr>
          <w:rFonts w:ascii="Times New Roman" w:eastAsia="Times New Roman" w:hAnsi="Times New Roman" w:cs="Times New Roman"/>
          <w:sz w:val="20"/>
          <w:szCs w:val="20"/>
        </w:rPr>
        <w:t xml:space="preserve"> 0.00000000018.    </w:t>
      </w: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 </w:t>
      </w:r>
    </w:p>
    <w:tbl>
      <w:tblPr>
        <w:tblStyle w:val="6"/>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2093"/>
        <w:gridCol w:w="1417"/>
        <w:gridCol w:w="1440"/>
        <w:gridCol w:w="1496"/>
        <w:gridCol w:w="1559"/>
      </w:tblGrid>
      <w:tr w:rsidR="00E0091A" w:rsidRPr="00B706EA">
        <w:tc>
          <w:tcPr>
            <w:tcW w:w="11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3(b)</w:t>
            </w:r>
          </w:p>
        </w:tc>
        <w:tc>
          <w:tcPr>
            <w:tcW w:w="2093"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Hospitals (thousands)</w:t>
            </w:r>
          </w:p>
        </w:tc>
        <w:tc>
          <w:tcPr>
            <w:tcW w:w="1417"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147" w:type="dxa"/>
          </w:tcPr>
          <w:p w:rsidR="00E0091A" w:rsidRPr="00B706EA" w:rsidRDefault="00E0091A">
            <w:pPr>
              <w:contextualSpacing w:val="0"/>
              <w:rPr>
                <w:rFonts w:ascii="Times New Roman" w:hAnsi="Times New Roman" w:cs="Times New Roman"/>
                <w:sz w:val="20"/>
                <w:szCs w:val="20"/>
              </w:rPr>
            </w:pPr>
          </w:p>
        </w:tc>
        <w:tc>
          <w:tcPr>
            <w:tcW w:w="2093"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1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1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2093"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281,209</w:t>
            </w:r>
          </w:p>
        </w:tc>
        <w:tc>
          <w:tcPr>
            <w:tcW w:w="141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(230,613)</w:t>
            </w: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51484</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94%</w:t>
            </w:r>
          </w:p>
        </w:tc>
      </w:tr>
      <w:tr w:rsidR="00E0091A" w:rsidRPr="00B706EA">
        <w:tc>
          <w:tcPr>
            <w:tcW w:w="1147"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2093"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0.00000000018</w:t>
            </w:r>
          </w:p>
        </w:tc>
        <w:tc>
          <w:tcPr>
            <w:tcW w:w="1417"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177696">
      <w:pPr>
        <w:ind w:firstLine="720"/>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   </w:t>
      </w:r>
    </w:p>
    <w:p w:rsidR="00E0091A" w:rsidRPr="00B706EA" w:rsidRDefault="00177696">
      <w:pPr>
        <w:ind w:firstLine="720"/>
        <w:rPr>
          <w:rFonts w:ascii="Times New Roman" w:hAnsi="Times New Roman" w:cs="Times New Roman"/>
          <w:sz w:val="20"/>
          <w:szCs w:val="20"/>
        </w:rPr>
      </w:pPr>
      <w:r w:rsidRPr="00B706EA">
        <w:rPr>
          <w:rFonts w:ascii="Times New Roman" w:eastAsia="Times New Roman" w:hAnsi="Times New Roman" w:cs="Times New Roman"/>
          <w:b/>
          <w:sz w:val="20"/>
          <w:szCs w:val="20"/>
        </w:rPr>
        <w:t xml:space="preserve">Table 4(a) </w:t>
      </w:r>
      <w:r w:rsidR="00305001">
        <w:rPr>
          <w:rFonts w:ascii="Times New Roman" w:eastAsia="Times New Roman" w:hAnsi="Times New Roman" w:cs="Times New Roman"/>
          <w:sz w:val="20"/>
          <w:szCs w:val="20"/>
        </w:rPr>
        <w:t>presents the 2013 results for c</w:t>
      </w:r>
      <w:r w:rsidRPr="00B706EA">
        <w:rPr>
          <w:rFonts w:ascii="Times New Roman" w:eastAsia="Times New Roman" w:hAnsi="Times New Roman" w:cs="Times New Roman"/>
          <w:sz w:val="20"/>
          <w:szCs w:val="20"/>
        </w:rPr>
        <w:t xml:space="preserve">harities.  The average New OCF is $8,086,975, an 88% change.  </w:t>
      </w:r>
      <w:r w:rsidR="003355AB">
        <w:rPr>
          <w:rFonts w:ascii="Times New Roman" w:eastAsia="Times New Roman" w:hAnsi="Times New Roman" w:cs="Times New Roman"/>
          <w:sz w:val="20"/>
          <w:szCs w:val="20"/>
        </w:rPr>
        <w:t>The p</w:t>
      </w:r>
      <w:r w:rsidR="0097446B">
        <w:rPr>
          <w:rFonts w:ascii="Times New Roman" w:eastAsia="Times New Roman" w:hAnsi="Times New Roman" w:cs="Times New Roman"/>
          <w:sz w:val="20"/>
          <w:szCs w:val="20"/>
        </w:rPr>
        <w:t>aired t-</w:t>
      </w:r>
      <w:r w:rsidRPr="00B706EA">
        <w:rPr>
          <w:rFonts w:ascii="Times New Roman" w:eastAsia="Times New Roman" w:hAnsi="Times New Roman" w:cs="Times New Roman"/>
          <w:sz w:val="20"/>
          <w:szCs w:val="20"/>
        </w:rPr>
        <w:t>test between Old and New OCF is significant at the 5% level</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 xml:space="preserve">(t=0.04738). We again examined individual charities and found that one overly large PPE purchase drove the </w:t>
      </w:r>
      <w:r w:rsidR="000D2766">
        <w:rPr>
          <w:rFonts w:ascii="Times New Roman" w:eastAsia="Times New Roman" w:hAnsi="Times New Roman" w:cs="Times New Roman"/>
          <w:sz w:val="20"/>
          <w:szCs w:val="20"/>
        </w:rPr>
        <w:t>t</w:t>
      </w:r>
      <w:r w:rsidRPr="00B706EA">
        <w:rPr>
          <w:rFonts w:ascii="Times New Roman" w:eastAsia="Times New Roman" w:hAnsi="Times New Roman" w:cs="Times New Roman"/>
          <w:sz w:val="20"/>
          <w:szCs w:val="20"/>
        </w:rPr>
        <w:t xml:space="preserve"> test result. Charity #34 had a fixed asset purchase of $515,8</w:t>
      </w:r>
      <w:r w:rsidR="00BE7F16">
        <w:rPr>
          <w:rFonts w:ascii="Times New Roman" w:eastAsia="Times New Roman" w:hAnsi="Times New Roman" w:cs="Times New Roman"/>
          <w:sz w:val="20"/>
          <w:szCs w:val="20"/>
        </w:rPr>
        <w:t xml:space="preserve">00,000.  The </w:t>
      </w:r>
      <w:r w:rsidR="000D2766">
        <w:rPr>
          <w:rFonts w:ascii="Times New Roman" w:eastAsia="Times New Roman" w:hAnsi="Times New Roman" w:cs="Times New Roman"/>
          <w:sz w:val="20"/>
          <w:szCs w:val="20"/>
        </w:rPr>
        <w:t>t</w:t>
      </w:r>
      <w:r w:rsidR="00BE7F16">
        <w:rPr>
          <w:rFonts w:ascii="Times New Roman" w:eastAsia="Times New Roman" w:hAnsi="Times New Roman" w:cs="Times New Roman"/>
          <w:sz w:val="20"/>
          <w:szCs w:val="20"/>
        </w:rPr>
        <w:t xml:space="preserve"> statistic became</w:t>
      </w:r>
      <w:r w:rsidRPr="00B706EA">
        <w:rPr>
          <w:rFonts w:ascii="Times New Roman" w:eastAsia="Times New Roman" w:hAnsi="Times New Roman" w:cs="Times New Roman"/>
          <w:sz w:val="20"/>
          <w:szCs w:val="20"/>
        </w:rPr>
        <w:t xml:space="preserve"> .0108 after the removal of the outlier.</w:t>
      </w:r>
    </w:p>
    <w:p w:rsidR="00E0091A" w:rsidRPr="00B706EA" w:rsidRDefault="00E0091A">
      <w:pPr>
        <w:ind w:firstLine="720"/>
        <w:rPr>
          <w:rFonts w:ascii="Times New Roman" w:hAnsi="Times New Roman" w:cs="Times New Roman"/>
          <w:sz w:val="20"/>
          <w:szCs w:val="20"/>
        </w:rPr>
      </w:pPr>
    </w:p>
    <w:tbl>
      <w:tblPr>
        <w:tblStyle w:val="5"/>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597"/>
        <w:gridCol w:w="1439"/>
        <w:gridCol w:w="1558"/>
        <w:gridCol w:w="1559"/>
        <w:gridCol w:w="1559"/>
      </w:tblGrid>
      <w:tr w:rsidR="00E0091A" w:rsidRPr="00B706EA">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4(a)</w:t>
            </w:r>
          </w:p>
        </w:tc>
        <w:tc>
          <w:tcPr>
            <w:tcW w:w="159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Charities</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440" w:type="dxa"/>
          </w:tcPr>
          <w:p w:rsidR="00E0091A" w:rsidRPr="00B706EA" w:rsidRDefault="00E0091A">
            <w:pPr>
              <w:contextualSpacing w:val="0"/>
              <w:rPr>
                <w:rFonts w:ascii="Times New Roman" w:hAnsi="Times New Roman" w:cs="Times New Roman"/>
                <w:sz w:val="20"/>
                <w:szCs w:val="20"/>
              </w:rPr>
            </w:pPr>
          </w:p>
        </w:tc>
        <w:tc>
          <w:tcPr>
            <w:tcW w:w="159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59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33,091,919</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(29,882,770)</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10,649,108</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8,086,975</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88%</w:t>
            </w:r>
          </w:p>
        </w:tc>
      </w:tr>
      <w:tr w:rsidR="00E0091A" w:rsidRPr="00B706EA">
        <w:tc>
          <w:tcPr>
            <w:tcW w:w="144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159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0.04738</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ind w:firstLine="720"/>
        <w:rPr>
          <w:rFonts w:ascii="Times New Roman" w:hAnsi="Times New Roman" w:cs="Times New Roman"/>
          <w:sz w:val="20"/>
          <w:szCs w:val="20"/>
        </w:rPr>
      </w:pPr>
    </w:p>
    <w:p w:rsidR="00E0091A" w:rsidRPr="00B706EA" w:rsidRDefault="00177696">
      <w:pPr>
        <w:ind w:firstLine="720"/>
        <w:rPr>
          <w:rFonts w:ascii="Times New Roman" w:hAnsi="Times New Roman" w:cs="Times New Roman"/>
          <w:sz w:val="20"/>
          <w:szCs w:val="20"/>
        </w:rPr>
      </w:pPr>
      <w:r w:rsidRPr="00B706EA">
        <w:rPr>
          <w:rFonts w:ascii="Times New Roman" w:eastAsia="Times New Roman" w:hAnsi="Times New Roman" w:cs="Times New Roman"/>
          <w:b/>
          <w:sz w:val="20"/>
          <w:szCs w:val="20"/>
        </w:rPr>
        <w:t xml:space="preserve">Table 4(b) </w:t>
      </w:r>
      <w:r w:rsidR="00305001">
        <w:rPr>
          <w:rFonts w:ascii="Times New Roman" w:eastAsia="Times New Roman" w:hAnsi="Times New Roman" w:cs="Times New Roman"/>
          <w:sz w:val="20"/>
          <w:szCs w:val="20"/>
        </w:rPr>
        <w:t>shows an analysis of the 2013 h</w:t>
      </w:r>
      <w:r w:rsidR="0097446B">
        <w:rPr>
          <w:rFonts w:ascii="Times New Roman" w:eastAsia="Times New Roman" w:hAnsi="Times New Roman" w:cs="Times New Roman"/>
          <w:sz w:val="20"/>
          <w:szCs w:val="20"/>
        </w:rPr>
        <w:t>ospital data. On average, N</w:t>
      </w:r>
      <w:r w:rsidRPr="00B706EA">
        <w:rPr>
          <w:rFonts w:ascii="Times New Roman" w:eastAsia="Times New Roman" w:hAnsi="Times New Roman" w:cs="Times New Roman"/>
          <w:sz w:val="20"/>
          <w:szCs w:val="20"/>
        </w:rPr>
        <w:t>ew OCF</w:t>
      </w:r>
      <w:r w:rsidR="00BE7F16">
        <w:rPr>
          <w:rFonts w:ascii="Times New Roman" w:eastAsia="Times New Roman" w:hAnsi="Times New Roman" w:cs="Times New Roman"/>
          <w:sz w:val="20"/>
          <w:szCs w:val="20"/>
        </w:rPr>
        <w:t xml:space="preserve"> is $40,969,000, a 98% change. The p</w:t>
      </w:r>
      <w:r w:rsidRPr="00B706EA">
        <w:rPr>
          <w:rFonts w:ascii="Times New Roman" w:eastAsia="Times New Roman" w:hAnsi="Times New Roman" w:cs="Times New Roman"/>
          <w:sz w:val="20"/>
          <w:szCs w:val="20"/>
        </w:rPr>
        <w:t xml:space="preserve">aired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is significant at t=0.0000000001</w:t>
      </w:r>
      <w:r w:rsidRPr="00B706EA">
        <w:rPr>
          <w:rFonts w:ascii="Times New Roman" w:eastAsia="Times New Roman" w:hAnsi="Times New Roman" w:cs="Times New Roman"/>
          <w:b/>
          <w:sz w:val="20"/>
          <w:szCs w:val="20"/>
        </w:rPr>
        <w:t>.</w:t>
      </w:r>
    </w:p>
    <w:p w:rsidR="00E0091A" w:rsidRPr="00B706EA" w:rsidRDefault="00E0091A">
      <w:pPr>
        <w:rPr>
          <w:rFonts w:ascii="Times New Roman" w:hAnsi="Times New Roman" w:cs="Times New Roman"/>
          <w:sz w:val="20"/>
          <w:szCs w:val="20"/>
        </w:rPr>
      </w:pPr>
    </w:p>
    <w:tbl>
      <w:tblPr>
        <w:tblStyle w:val="4"/>
        <w:tblW w:w="924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047"/>
        <w:gridCol w:w="1530"/>
        <w:gridCol w:w="1440"/>
        <w:gridCol w:w="1496"/>
        <w:gridCol w:w="1559"/>
      </w:tblGrid>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4(b)</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Hospitals (thousands)</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170" w:type="dxa"/>
          </w:tcPr>
          <w:p w:rsidR="00E0091A" w:rsidRPr="00B706EA" w:rsidRDefault="00E0091A">
            <w:pPr>
              <w:contextualSpacing w:val="0"/>
              <w:rPr>
                <w:rFonts w:ascii="Times New Roman" w:hAnsi="Times New Roman" w:cs="Times New Roman"/>
                <w:sz w:val="20"/>
                <w:szCs w:val="20"/>
              </w:rPr>
            </w:pP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259,461</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(218,903)</w:t>
            </w: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40,969</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98%</w:t>
            </w:r>
          </w:p>
        </w:tc>
      </w:tr>
      <w:tr w:rsidR="00E0091A" w:rsidRPr="00B706EA">
        <w:tc>
          <w:tcPr>
            <w:tcW w:w="117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0.0000000001</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b/>
          <w:sz w:val="20"/>
          <w:szCs w:val="20"/>
        </w:rPr>
        <w:t>Table 5(a)</w:t>
      </w:r>
      <w:r w:rsidR="00305001">
        <w:rPr>
          <w:rFonts w:ascii="Times New Roman" w:eastAsia="Times New Roman" w:hAnsi="Times New Roman" w:cs="Times New Roman"/>
          <w:sz w:val="20"/>
          <w:szCs w:val="20"/>
        </w:rPr>
        <w:t xml:space="preserve"> reports the 2014 analysis of c</w:t>
      </w:r>
      <w:r w:rsidRPr="00B706EA">
        <w:rPr>
          <w:rFonts w:ascii="Times New Roman" w:eastAsia="Times New Roman" w:hAnsi="Times New Roman" w:cs="Times New Roman"/>
          <w:sz w:val="20"/>
          <w:szCs w:val="20"/>
        </w:rPr>
        <w:t xml:space="preserve">harities. The average New OCF is $21,079,304, a 66% change. </w:t>
      </w:r>
      <w:r w:rsidRPr="00B706EA">
        <w:rPr>
          <w:rFonts w:ascii="Times New Roman" w:eastAsia="Times New Roman" w:hAnsi="Times New Roman" w:cs="Times New Roman"/>
          <w:b/>
          <w:sz w:val="20"/>
          <w:szCs w:val="20"/>
        </w:rPr>
        <w:t xml:space="preserve">  </w:t>
      </w:r>
      <w:r w:rsidR="00BE7F16">
        <w:rPr>
          <w:rFonts w:ascii="Times New Roman" w:eastAsia="Times New Roman" w:hAnsi="Times New Roman" w:cs="Times New Roman"/>
          <w:sz w:val="20"/>
          <w:szCs w:val="20"/>
        </w:rPr>
        <w:t>The p</w:t>
      </w:r>
      <w:r w:rsidRPr="00B706EA">
        <w:rPr>
          <w:rFonts w:ascii="Times New Roman" w:eastAsia="Times New Roman" w:hAnsi="Times New Roman" w:cs="Times New Roman"/>
          <w:sz w:val="20"/>
          <w:szCs w:val="20"/>
        </w:rPr>
        <w:t xml:space="preserve">aired </w:t>
      </w:r>
      <w:r w:rsidR="000D2766">
        <w:rPr>
          <w:rFonts w:ascii="Times New Roman" w:eastAsia="Times New Roman" w:hAnsi="Times New Roman" w:cs="Times New Roman"/>
          <w:sz w:val="20"/>
          <w:szCs w:val="20"/>
        </w:rPr>
        <w:t>t-test</w:t>
      </w:r>
      <w:r w:rsidRPr="00B706EA">
        <w:rPr>
          <w:rFonts w:ascii="Times New Roman" w:eastAsia="Times New Roman" w:hAnsi="Times New Roman" w:cs="Times New Roman"/>
          <w:sz w:val="20"/>
          <w:szCs w:val="20"/>
        </w:rPr>
        <w:t xml:space="preserve"> shows that the change in reported operating cash flow is significant at 10% level</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(t=0.09977). A closer look at</w:t>
      </w:r>
      <w:r w:rsidR="00BE7F16">
        <w:rPr>
          <w:rFonts w:ascii="Times New Roman" w:eastAsia="Times New Roman" w:hAnsi="Times New Roman" w:cs="Times New Roman"/>
          <w:sz w:val="20"/>
          <w:szCs w:val="20"/>
        </w:rPr>
        <w:t xml:space="preserve"> individual charities revealed</w:t>
      </w:r>
      <w:r w:rsidRPr="00B706EA">
        <w:rPr>
          <w:rFonts w:ascii="Times New Roman" w:eastAsia="Times New Roman" w:hAnsi="Times New Roman" w:cs="Times New Roman"/>
          <w:sz w:val="20"/>
          <w:szCs w:val="20"/>
        </w:rPr>
        <w:t xml:space="preserve"> that Charity #26 had approximately $500 million purchases of fixed assets</w:t>
      </w:r>
      <w:r w:rsidR="00A75C40">
        <w:rPr>
          <w:rFonts w:ascii="Times New Roman" w:eastAsia="Times New Roman" w:hAnsi="Times New Roman" w:cs="Times New Roman"/>
          <w:sz w:val="20"/>
          <w:szCs w:val="20"/>
        </w:rPr>
        <w:t>, which</w:t>
      </w:r>
      <w:r w:rsidRPr="00B706EA">
        <w:rPr>
          <w:rFonts w:ascii="Times New Roman" w:eastAsia="Times New Roman" w:hAnsi="Times New Roman" w:cs="Times New Roman"/>
          <w:sz w:val="20"/>
          <w:szCs w:val="20"/>
        </w:rPr>
        <w:t xml:space="preserve"> was driving the result</w:t>
      </w:r>
      <w:r w:rsidR="00BE7F16">
        <w:rPr>
          <w:rFonts w:ascii="Times New Roman" w:eastAsia="Times New Roman" w:hAnsi="Times New Roman" w:cs="Times New Roman"/>
          <w:sz w:val="20"/>
          <w:szCs w:val="20"/>
        </w:rPr>
        <w:t xml:space="preserve">. The </w:t>
      </w:r>
      <w:r w:rsidR="000D2766">
        <w:rPr>
          <w:rFonts w:ascii="Times New Roman" w:eastAsia="Times New Roman" w:hAnsi="Times New Roman" w:cs="Times New Roman"/>
          <w:sz w:val="20"/>
          <w:szCs w:val="20"/>
        </w:rPr>
        <w:t>t</w:t>
      </w:r>
      <w:r w:rsidR="00BE7F16">
        <w:rPr>
          <w:rFonts w:ascii="Times New Roman" w:eastAsia="Times New Roman" w:hAnsi="Times New Roman" w:cs="Times New Roman"/>
          <w:sz w:val="20"/>
          <w:szCs w:val="20"/>
        </w:rPr>
        <w:t xml:space="preserve"> statistic became 0.02904 after the removal of the outlier.</w:t>
      </w:r>
    </w:p>
    <w:p w:rsidR="00E0091A" w:rsidRPr="00B706EA" w:rsidRDefault="00E0091A">
      <w:pPr>
        <w:ind w:firstLine="720"/>
        <w:rPr>
          <w:rFonts w:ascii="Times New Roman" w:hAnsi="Times New Roman" w:cs="Times New Roman"/>
          <w:sz w:val="20"/>
          <w:szCs w:val="20"/>
        </w:rPr>
      </w:pPr>
    </w:p>
    <w:tbl>
      <w:tblPr>
        <w:tblStyle w:val="3"/>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87"/>
        <w:gridCol w:w="1439"/>
        <w:gridCol w:w="1558"/>
        <w:gridCol w:w="1559"/>
        <w:gridCol w:w="1559"/>
      </w:tblGrid>
      <w:tr w:rsidR="00E0091A" w:rsidRPr="00B706EA">
        <w:tc>
          <w:tcPr>
            <w:tcW w:w="135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5(a)</w:t>
            </w: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Charities</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350" w:type="dxa"/>
          </w:tcPr>
          <w:p w:rsidR="00E0091A" w:rsidRPr="00B706EA" w:rsidRDefault="00E0091A">
            <w:pPr>
              <w:contextualSpacing w:val="0"/>
              <w:rPr>
                <w:rFonts w:ascii="Times New Roman" w:hAnsi="Times New Roman" w:cs="Times New Roman"/>
                <w:sz w:val="20"/>
                <w:szCs w:val="20"/>
              </w:rPr>
            </w:pP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35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41,230,978</w:t>
            </w:r>
          </w:p>
        </w:tc>
        <w:tc>
          <w:tcPr>
            <w:tcW w:w="143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(22,464,054)</w:t>
            </w:r>
          </w:p>
        </w:tc>
        <w:tc>
          <w:tcPr>
            <w:tcW w:w="1558"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353,670</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21,079,304</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66%</w:t>
            </w:r>
          </w:p>
        </w:tc>
      </w:tr>
      <w:tr w:rsidR="00E0091A" w:rsidRPr="00B706EA">
        <w:tc>
          <w:tcPr>
            <w:tcW w:w="135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168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0.09977</w:t>
            </w:r>
          </w:p>
        </w:tc>
        <w:tc>
          <w:tcPr>
            <w:tcW w:w="1439" w:type="dxa"/>
          </w:tcPr>
          <w:p w:rsidR="00E0091A" w:rsidRPr="00B706EA" w:rsidRDefault="00E0091A">
            <w:pPr>
              <w:contextualSpacing w:val="0"/>
              <w:rPr>
                <w:rFonts w:ascii="Times New Roman" w:hAnsi="Times New Roman" w:cs="Times New Roman"/>
                <w:sz w:val="20"/>
                <w:szCs w:val="20"/>
              </w:rPr>
            </w:pPr>
          </w:p>
        </w:tc>
        <w:tc>
          <w:tcPr>
            <w:tcW w:w="1558"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ind w:firstLine="720"/>
        <w:rPr>
          <w:rFonts w:ascii="Times New Roman" w:hAnsi="Times New Roman" w:cs="Times New Roman"/>
          <w:sz w:val="20"/>
          <w:szCs w:val="20"/>
        </w:rPr>
      </w:pPr>
    </w:p>
    <w:p w:rsidR="00E0091A" w:rsidRPr="00B706EA" w:rsidRDefault="00177696">
      <w:pPr>
        <w:ind w:firstLine="720"/>
        <w:rPr>
          <w:rFonts w:ascii="Times New Roman" w:hAnsi="Times New Roman" w:cs="Times New Roman"/>
          <w:sz w:val="20"/>
          <w:szCs w:val="20"/>
        </w:rPr>
      </w:pPr>
      <w:r w:rsidRPr="00B706EA">
        <w:rPr>
          <w:rFonts w:ascii="Times New Roman" w:eastAsia="Times New Roman" w:hAnsi="Times New Roman" w:cs="Times New Roman"/>
          <w:b/>
          <w:sz w:val="20"/>
          <w:szCs w:val="20"/>
        </w:rPr>
        <w:t>Table 5(b)</w:t>
      </w:r>
      <w:r w:rsidR="00305001">
        <w:rPr>
          <w:rFonts w:ascii="Times New Roman" w:eastAsia="Times New Roman" w:hAnsi="Times New Roman" w:cs="Times New Roman"/>
          <w:sz w:val="20"/>
          <w:szCs w:val="20"/>
        </w:rPr>
        <w:t xml:space="preserve"> shows 2014 h</w:t>
      </w:r>
      <w:r w:rsidRPr="00B706EA">
        <w:rPr>
          <w:rFonts w:ascii="Times New Roman" w:eastAsia="Times New Roman" w:hAnsi="Times New Roman" w:cs="Times New Roman"/>
          <w:sz w:val="20"/>
          <w:szCs w:val="20"/>
        </w:rPr>
        <w:t>ospital analysis. Average New OCF is $64,363,000, a 118% change from the Old OCF.</w:t>
      </w:r>
      <w:r w:rsidRPr="00B706EA">
        <w:rPr>
          <w:rFonts w:ascii="Times New Roman" w:eastAsia="Times New Roman" w:hAnsi="Times New Roman" w:cs="Times New Roman"/>
          <w:b/>
          <w:sz w:val="20"/>
          <w:szCs w:val="20"/>
        </w:rPr>
        <w:t xml:space="preserve"> </w:t>
      </w:r>
      <w:r w:rsidR="00BE7F16">
        <w:rPr>
          <w:rFonts w:ascii="Times New Roman" w:eastAsia="Times New Roman" w:hAnsi="Times New Roman" w:cs="Times New Roman"/>
          <w:sz w:val="20"/>
          <w:szCs w:val="20"/>
        </w:rPr>
        <w:t xml:space="preserve"> The p</w:t>
      </w:r>
      <w:r w:rsidRPr="00B706EA">
        <w:rPr>
          <w:rFonts w:ascii="Times New Roman" w:eastAsia="Times New Roman" w:hAnsi="Times New Roman" w:cs="Times New Roman"/>
          <w:sz w:val="20"/>
          <w:szCs w:val="20"/>
        </w:rPr>
        <w:t xml:space="preserve">aired </w:t>
      </w:r>
      <w:r w:rsidR="000D2766">
        <w:rPr>
          <w:rFonts w:ascii="Times New Roman" w:eastAsia="Times New Roman" w:hAnsi="Times New Roman" w:cs="Times New Roman"/>
          <w:sz w:val="20"/>
          <w:szCs w:val="20"/>
        </w:rPr>
        <w:t>t-test</w:t>
      </w:r>
      <w:r w:rsidR="000D2766" w:rsidRPr="00B706EA">
        <w:rPr>
          <w:rFonts w:ascii="Times New Roman" w:eastAsia="Times New Roman" w:hAnsi="Times New Roman" w:cs="Times New Roman"/>
          <w:sz w:val="20"/>
          <w:szCs w:val="20"/>
        </w:rPr>
        <w:t xml:space="preserve"> </w:t>
      </w:r>
      <w:r w:rsidRPr="00B706EA">
        <w:rPr>
          <w:rFonts w:ascii="Times New Roman" w:eastAsia="Times New Roman" w:hAnsi="Times New Roman" w:cs="Times New Roman"/>
          <w:sz w:val="20"/>
          <w:szCs w:val="20"/>
        </w:rPr>
        <w:t>is significant at t=0.0000000003.</w:t>
      </w:r>
    </w:p>
    <w:p w:rsidR="00E0091A" w:rsidRPr="00B706EA" w:rsidRDefault="00E0091A">
      <w:pPr>
        <w:ind w:firstLine="720"/>
        <w:rPr>
          <w:rFonts w:ascii="Times New Roman" w:hAnsi="Times New Roman" w:cs="Times New Roman"/>
          <w:sz w:val="20"/>
          <w:szCs w:val="20"/>
        </w:rPr>
      </w:pPr>
    </w:p>
    <w:tbl>
      <w:tblPr>
        <w:tblStyle w:val="2"/>
        <w:tblW w:w="924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047"/>
        <w:gridCol w:w="1530"/>
        <w:gridCol w:w="1440"/>
        <w:gridCol w:w="1496"/>
        <w:gridCol w:w="1559"/>
      </w:tblGrid>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5(b)</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Hospitals (thousands)</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r w:rsidR="00E0091A" w:rsidRPr="00B706EA">
        <w:tc>
          <w:tcPr>
            <w:tcW w:w="1170" w:type="dxa"/>
          </w:tcPr>
          <w:p w:rsidR="00E0091A" w:rsidRPr="00B706EA" w:rsidRDefault="00E0091A">
            <w:pPr>
              <w:contextualSpacing w:val="0"/>
              <w:rPr>
                <w:rFonts w:ascii="Times New Roman" w:hAnsi="Times New Roman" w:cs="Times New Roman"/>
                <w:sz w:val="20"/>
                <w:szCs w:val="20"/>
              </w:rPr>
            </w:pP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0091A" w:rsidRPr="00B706EA">
        <w:tc>
          <w:tcPr>
            <w:tcW w:w="117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289,167</w:t>
            </w:r>
          </w:p>
        </w:tc>
        <w:tc>
          <w:tcPr>
            <w:tcW w:w="1530"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(255,358)</w:t>
            </w: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64,363</w:t>
            </w:r>
          </w:p>
        </w:tc>
        <w:tc>
          <w:tcPr>
            <w:tcW w:w="1559"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118%</w:t>
            </w:r>
          </w:p>
        </w:tc>
      </w:tr>
      <w:tr w:rsidR="00E0091A" w:rsidRPr="00B706EA">
        <w:tc>
          <w:tcPr>
            <w:tcW w:w="1170" w:type="dxa"/>
          </w:tcPr>
          <w:p w:rsidR="00E0091A" w:rsidRPr="00B706EA" w:rsidRDefault="000D2766">
            <w:pPr>
              <w:contextualSpacing w:val="0"/>
              <w:rPr>
                <w:rFonts w:ascii="Times New Roman" w:hAnsi="Times New Roman" w:cs="Times New Roman"/>
                <w:sz w:val="20"/>
                <w:szCs w:val="20"/>
              </w:rPr>
            </w:pPr>
            <w:r>
              <w:rPr>
                <w:rFonts w:ascii="Times New Roman" w:eastAsia="Times New Roman" w:hAnsi="Times New Roman" w:cs="Times New Roman"/>
                <w:sz w:val="20"/>
                <w:szCs w:val="20"/>
              </w:rPr>
              <w:t>t-test</w:t>
            </w:r>
          </w:p>
        </w:tc>
        <w:tc>
          <w:tcPr>
            <w:tcW w:w="2047" w:type="dxa"/>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0.0000000003</w:t>
            </w:r>
          </w:p>
        </w:tc>
        <w:tc>
          <w:tcPr>
            <w:tcW w:w="1530" w:type="dxa"/>
          </w:tcPr>
          <w:p w:rsidR="00E0091A" w:rsidRPr="00B706EA" w:rsidRDefault="00E0091A">
            <w:pPr>
              <w:contextualSpacing w:val="0"/>
              <w:rPr>
                <w:rFonts w:ascii="Times New Roman" w:hAnsi="Times New Roman" w:cs="Times New Roman"/>
                <w:sz w:val="20"/>
                <w:szCs w:val="20"/>
              </w:rPr>
            </w:pPr>
          </w:p>
        </w:tc>
        <w:tc>
          <w:tcPr>
            <w:tcW w:w="1440" w:type="dxa"/>
          </w:tcPr>
          <w:p w:rsidR="00E0091A" w:rsidRPr="00B706EA" w:rsidRDefault="00E0091A">
            <w:pPr>
              <w:contextualSpacing w:val="0"/>
              <w:rPr>
                <w:rFonts w:ascii="Times New Roman" w:hAnsi="Times New Roman" w:cs="Times New Roman"/>
                <w:sz w:val="20"/>
                <w:szCs w:val="20"/>
              </w:rPr>
            </w:pPr>
          </w:p>
        </w:tc>
        <w:tc>
          <w:tcPr>
            <w:tcW w:w="1496" w:type="dxa"/>
          </w:tcPr>
          <w:p w:rsidR="00E0091A" w:rsidRPr="00B706EA" w:rsidRDefault="00E0091A">
            <w:pPr>
              <w:contextualSpacing w:val="0"/>
              <w:rPr>
                <w:rFonts w:ascii="Times New Roman" w:hAnsi="Times New Roman" w:cs="Times New Roman"/>
                <w:sz w:val="20"/>
                <w:szCs w:val="20"/>
              </w:rPr>
            </w:pPr>
          </w:p>
        </w:tc>
        <w:tc>
          <w:tcPr>
            <w:tcW w:w="1559" w:type="dxa"/>
          </w:tcPr>
          <w:p w:rsidR="00E0091A" w:rsidRPr="00B706EA" w:rsidRDefault="00E0091A">
            <w:pPr>
              <w:contextualSpacing w:val="0"/>
              <w:rPr>
                <w:rFonts w:ascii="Times New Roman" w:hAnsi="Times New Roman" w:cs="Times New Roman"/>
                <w:sz w:val="20"/>
                <w:szCs w:val="20"/>
              </w:rPr>
            </w:pPr>
          </w:p>
        </w:tc>
      </w:tr>
    </w:tbl>
    <w:p w:rsidR="00E0091A" w:rsidRPr="00B706EA" w:rsidRDefault="00E0091A">
      <w:pPr>
        <w:ind w:firstLine="720"/>
        <w:rPr>
          <w:rFonts w:ascii="Times New Roman" w:hAnsi="Times New Roman" w:cs="Times New Roman"/>
          <w:sz w:val="20"/>
          <w:szCs w:val="20"/>
        </w:rPr>
      </w:pPr>
    </w:p>
    <w:p w:rsidR="00E0091A" w:rsidRPr="00B706EA" w:rsidRDefault="00FB65A4" w:rsidP="000E4548">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Ta</w:t>
      </w:r>
      <w:r w:rsidR="00BE7F16">
        <w:rPr>
          <w:rFonts w:ascii="Times New Roman" w:eastAsia="Times New Roman" w:hAnsi="Times New Roman" w:cs="Times New Roman"/>
          <w:sz w:val="20"/>
          <w:szCs w:val="20"/>
        </w:rPr>
        <w:t>bles 1 to 5 provide</w:t>
      </w:r>
      <w:r>
        <w:rPr>
          <w:rFonts w:ascii="Times New Roman" w:eastAsia="Times New Roman" w:hAnsi="Times New Roman" w:cs="Times New Roman"/>
          <w:sz w:val="20"/>
          <w:szCs w:val="20"/>
        </w:rPr>
        <w:t xml:space="preserve"> </w:t>
      </w:r>
      <w:r w:rsidR="00177696" w:rsidRPr="00B706EA">
        <w:rPr>
          <w:rFonts w:ascii="Times New Roman" w:eastAsia="Times New Roman" w:hAnsi="Times New Roman" w:cs="Times New Roman"/>
          <w:sz w:val="20"/>
          <w:szCs w:val="20"/>
        </w:rPr>
        <w:t>evidence th</w:t>
      </w:r>
      <w:r>
        <w:rPr>
          <w:rFonts w:ascii="Times New Roman" w:eastAsia="Times New Roman" w:hAnsi="Times New Roman" w:cs="Times New Roman"/>
          <w:sz w:val="20"/>
          <w:szCs w:val="20"/>
        </w:rPr>
        <w:t>at, in each of the five years</w:t>
      </w:r>
      <w:r w:rsidR="00C46E2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w:t>
      </w:r>
      <w:r w:rsidR="00177696" w:rsidRPr="00B706EA">
        <w:rPr>
          <w:rFonts w:ascii="Times New Roman" w:eastAsia="Times New Roman" w:hAnsi="Times New Roman" w:cs="Times New Roman"/>
          <w:sz w:val="20"/>
          <w:szCs w:val="20"/>
        </w:rPr>
        <w:t>ospitals will have incurred much bigger change</w:t>
      </w:r>
      <w:r>
        <w:rPr>
          <w:rFonts w:ascii="Times New Roman" w:eastAsia="Times New Roman" w:hAnsi="Times New Roman" w:cs="Times New Roman"/>
          <w:sz w:val="20"/>
          <w:szCs w:val="20"/>
        </w:rPr>
        <w:t>s</w:t>
      </w:r>
      <w:r w:rsidR="00177696" w:rsidRPr="00B706EA">
        <w:rPr>
          <w:rFonts w:ascii="Times New Roman" w:eastAsia="Times New Roman" w:hAnsi="Times New Roman" w:cs="Times New Roman"/>
          <w:sz w:val="20"/>
          <w:szCs w:val="20"/>
        </w:rPr>
        <w:t xml:space="preserve"> to t</w:t>
      </w:r>
      <w:r w:rsidR="00305001">
        <w:rPr>
          <w:rFonts w:ascii="Times New Roman" w:eastAsia="Times New Roman" w:hAnsi="Times New Roman" w:cs="Times New Roman"/>
          <w:sz w:val="20"/>
          <w:szCs w:val="20"/>
        </w:rPr>
        <w:t>heir operating cash flows than c</w:t>
      </w:r>
      <w:r w:rsidR="00177696" w:rsidRPr="00B706EA">
        <w:rPr>
          <w:rFonts w:ascii="Times New Roman" w:eastAsia="Times New Roman" w:hAnsi="Times New Roman" w:cs="Times New Roman"/>
          <w:sz w:val="20"/>
          <w:szCs w:val="20"/>
        </w:rPr>
        <w:t xml:space="preserve">harities. </w:t>
      </w:r>
      <w:r w:rsidR="00177696" w:rsidRPr="00B706EA">
        <w:rPr>
          <w:rFonts w:ascii="Times New Roman" w:eastAsia="Times New Roman" w:hAnsi="Times New Roman" w:cs="Times New Roman"/>
          <w:b/>
          <w:sz w:val="20"/>
          <w:szCs w:val="20"/>
        </w:rPr>
        <w:t>Table 6</w:t>
      </w:r>
      <w:r w:rsidR="00177696" w:rsidRPr="00B706EA">
        <w:rPr>
          <w:rFonts w:ascii="Times New Roman" w:eastAsia="Times New Roman" w:hAnsi="Times New Roman" w:cs="Times New Roman"/>
          <w:sz w:val="20"/>
          <w:szCs w:val="20"/>
        </w:rPr>
        <w:t xml:space="preserve"> compares the differential impact of the classification on operating cash flows between charities and hospitals, classified into three categories:  more than 100% change, 50-100%, and 20-49%. For 2010, 8 charities have PPE over 100% of OCF, 4 between 50%-100%, </w:t>
      </w:r>
      <w:r w:rsidR="00BE7F16">
        <w:rPr>
          <w:rFonts w:ascii="Times New Roman" w:eastAsia="Times New Roman" w:hAnsi="Times New Roman" w:cs="Times New Roman"/>
          <w:sz w:val="20"/>
          <w:szCs w:val="20"/>
        </w:rPr>
        <w:t xml:space="preserve">and </w:t>
      </w:r>
      <w:r w:rsidR="00177696" w:rsidRPr="00B706EA">
        <w:rPr>
          <w:rFonts w:ascii="Times New Roman" w:eastAsia="Times New Roman" w:hAnsi="Times New Roman" w:cs="Times New Roman"/>
          <w:sz w:val="20"/>
          <w:szCs w:val="20"/>
        </w:rPr>
        <w:t>7 between 20%-</w:t>
      </w:r>
      <w:r w:rsidR="00177696" w:rsidRPr="00B706EA">
        <w:rPr>
          <w:rFonts w:ascii="Times New Roman" w:eastAsia="Times New Roman" w:hAnsi="Times New Roman" w:cs="Times New Roman"/>
          <w:sz w:val="20"/>
          <w:szCs w:val="20"/>
        </w:rPr>
        <w:lastRenderedPageBreak/>
        <w:t xml:space="preserve">49%. Overall for 2010, 19 charities will see over 20% change of their Operating Cash Flow. Ten hospitals have PPE over 100% of OCF, 19 between 50%-100%, </w:t>
      </w:r>
      <w:r w:rsidR="00BE7F16">
        <w:rPr>
          <w:rFonts w:ascii="Times New Roman" w:eastAsia="Times New Roman" w:hAnsi="Times New Roman" w:cs="Times New Roman"/>
          <w:sz w:val="20"/>
          <w:szCs w:val="20"/>
        </w:rPr>
        <w:t xml:space="preserve">and </w:t>
      </w:r>
      <w:r w:rsidR="00177696" w:rsidRPr="00B706EA">
        <w:rPr>
          <w:rFonts w:ascii="Times New Roman" w:eastAsia="Times New Roman" w:hAnsi="Times New Roman" w:cs="Times New Roman"/>
          <w:sz w:val="20"/>
          <w:szCs w:val="20"/>
        </w:rPr>
        <w:t>6 between 30%-49%. Overall for 2010, all</w:t>
      </w:r>
      <w:r w:rsidR="00A75C40">
        <w:rPr>
          <w:rFonts w:ascii="Times New Roman" w:eastAsia="Times New Roman" w:hAnsi="Times New Roman" w:cs="Times New Roman"/>
          <w:sz w:val="20"/>
          <w:szCs w:val="20"/>
        </w:rPr>
        <w:t xml:space="preserve"> hospitals will have experienced</w:t>
      </w:r>
      <w:r w:rsidR="00177696" w:rsidRPr="00B706EA">
        <w:rPr>
          <w:rFonts w:ascii="Times New Roman" w:eastAsia="Times New Roman" w:hAnsi="Times New Roman" w:cs="Times New Roman"/>
          <w:sz w:val="20"/>
          <w:szCs w:val="20"/>
        </w:rPr>
        <w:t xml:space="preserve"> over a </w:t>
      </w:r>
      <w:r w:rsidR="00A75C40">
        <w:rPr>
          <w:rFonts w:ascii="Times New Roman" w:eastAsia="Times New Roman" w:hAnsi="Times New Roman" w:cs="Times New Roman"/>
          <w:sz w:val="20"/>
          <w:szCs w:val="20"/>
        </w:rPr>
        <w:t>30% change of their OCF</w:t>
      </w:r>
      <w:r w:rsidR="00177696" w:rsidRPr="00B706EA">
        <w:rPr>
          <w:rFonts w:ascii="Times New Roman" w:eastAsia="Times New Roman" w:hAnsi="Times New Roman" w:cs="Times New Roman"/>
          <w:sz w:val="20"/>
          <w:szCs w:val="20"/>
        </w:rPr>
        <w:t>s. The average change would have been 89%. This is in contrast to 1(a) wh</w:t>
      </w:r>
      <w:r w:rsidR="00BE7F16">
        <w:rPr>
          <w:rFonts w:ascii="Times New Roman" w:eastAsia="Times New Roman" w:hAnsi="Times New Roman" w:cs="Times New Roman"/>
          <w:sz w:val="20"/>
          <w:szCs w:val="20"/>
        </w:rPr>
        <w:t xml:space="preserve">ere 51% of charities had </w:t>
      </w:r>
      <w:r w:rsidR="00177696" w:rsidRPr="00B706EA">
        <w:rPr>
          <w:rFonts w:ascii="Times New Roman" w:eastAsia="Times New Roman" w:hAnsi="Times New Roman" w:cs="Times New Roman"/>
          <w:sz w:val="20"/>
          <w:szCs w:val="20"/>
        </w:rPr>
        <w:t>more than a 20% change.</w:t>
      </w:r>
    </w:p>
    <w:p w:rsidR="00E0091A" w:rsidRPr="00B706EA" w:rsidRDefault="00E0091A" w:rsidP="000E4548">
      <w:pPr>
        <w:ind w:firstLine="720"/>
        <w:jc w:val="both"/>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For 2011, we find that 10 charities have PPE over 100% of OCF, 5 between 50%-100%, </w:t>
      </w:r>
      <w:r w:rsidR="00BE7F16">
        <w:rPr>
          <w:rFonts w:ascii="Times New Roman" w:eastAsia="Times New Roman" w:hAnsi="Times New Roman" w:cs="Times New Roman"/>
          <w:sz w:val="20"/>
          <w:szCs w:val="20"/>
        </w:rPr>
        <w:t xml:space="preserve">and </w:t>
      </w:r>
      <w:r w:rsidRPr="00B706EA">
        <w:rPr>
          <w:rFonts w:ascii="Times New Roman" w:eastAsia="Times New Roman" w:hAnsi="Times New Roman" w:cs="Times New Roman"/>
          <w:sz w:val="20"/>
          <w:szCs w:val="20"/>
        </w:rPr>
        <w:t>6 between 20%-49%. Overall for 2011, 21 out of 42 charities wil</w:t>
      </w:r>
      <w:r w:rsidR="008440EA">
        <w:rPr>
          <w:rFonts w:ascii="Times New Roman" w:eastAsia="Times New Roman" w:hAnsi="Times New Roman" w:cs="Times New Roman"/>
          <w:sz w:val="20"/>
          <w:szCs w:val="20"/>
        </w:rPr>
        <w:t xml:space="preserve">l see over 20% change in </w:t>
      </w:r>
      <w:r w:rsidR="00BE7F16">
        <w:rPr>
          <w:rFonts w:ascii="Times New Roman" w:eastAsia="Times New Roman" w:hAnsi="Times New Roman" w:cs="Times New Roman"/>
          <w:sz w:val="20"/>
          <w:szCs w:val="20"/>
        </w:rPr>
        <w:t xml:space="preserve">their operating </w:t>
      </w:r>
      <w:r w:rsidR="008440EA">
        <w:rPr>
          <w:rFonts w:ascii="Times New Roman" w:eastAsia="Times New Roman" w:hAnsi="Times New Roman" w:cs="Times New Roman"/>
          <w:sz w:val="20"/>
          <w:szCs w:val="20"/>
        </w:rPr>
        <w:t>cash f</w:t>
      </w:r>
      <w:r w:rsidRPr="00B706EA">
        <w:rPr>
          <w:rFonts w:ascii="Times New Roman" w:eastAsia="Times New Roman" w:hAnsi="Times New Roman" w:cs="Times New Roman"/>
          <w:sz w:val="20"/>
          <w:szCs w:val="20"/>
        </w:rPr>
        <w:t>low</w:t>
      </w:r>
      <w:r w:rsidR="008440EA">
        <w:rPr>
          <w:rFonts w:ascii="Times New Roman" w:eastAsia="Times New Roman" w:hAnsi="Times New Roman" w:cs="Times New Roman"/>
          <w:sz w:val="20"/>
          <w:szCs w:val="20"/>
        </w:rPr>
        <w:t>s</w:t>
      </w:r>
      <w:r w:rsidRPr="00B706EA">
        <w:rPr>
          <w:rFonts w:ascii="Times New Roman" w:eastAsia="Times New Roman" w:hAnsi="Times New Roman" w:cs="Times New Roman"/>
          <w:sz w:val="20"/>
          <w:szCs w:val="20"/>
        </w:rPr>
        <w:t>. For hospitals, we find that 16 have PPE over 100% of OCF, 19 between 50%-100%, and 4 between 20%-49%. Overall for 2011, 39 out of 39 hospitals will</w:t>
      </w:r>
      <w:r w:rsidR="00BE7F16">
        <w:rPr>
          <w:rFonts w:ascii="Times New Roman" w:eastAsia="Times New Roman" w:hAnsi="Times New Roman" w:cs="Times New Roman"/>
          <w:sz w:val="20"/>
          <w:szCs w:val="20"/>
        </w:rPr>
        <w:t xml:space="preserve"> see over 20% changes of their operating cash f</w:t>
      </w:r>
      <w:r w:rsidRPr="00B706EA">
        <w:rPr>
          <w:rFonts w:ascii="Times New Roman" w:eastAsia="Times New Roman" w:hAnsi="Times New Roman" w:cs="Times New Roman"/>
          <w:sz w:val="20"/>
          <w:szCs w:val="20"/>
        </w:rPr>
        <w:t>lows.</w:t>
      </w:r>
    </w:p>
    <w:p w:rsidR="00E0091A" w:rsidRPr="00B706EA" w:rsidRDefault="00E0091A" w:rsidP="000E4548">
      <w:pPr>
        <w:jc w:val="both"/>
        <w:rPr>
          <w:rFonts w:ascii="Times New Roman" w:hAnsi="Times New Roman" w:cs="Times New Roman"/>
          <w:sz w:val="20"/>
          <w:szCs w:val="20"/>
        </w:rPr>
      </w:pPr>
    </w:p>
    <w:p w:rsidR="00E0091A" w:rsidRPr="00B706EA" w:rsidRDefault="00177696" w:rsidP="000E4548">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For 2012, 11 charities have PPE over 100% of OCF, 6 between 50%-100%, and 7 between 20%-49%. Overall for 2012, 24 out of 47 charities will see over 2</w:t>
      </w:r>
      <w:r w:rsidR="008440EA">
        <w:rPr>
          <w:rFonts w:ascii="Times New Roman" w:eastAsia="Times New Roman" w:hAnsi="Times New Roman" w:cs="Times New Roman"/>
          <w:sz w:val="20"/>
          <w:szCs w:val="20"/>
        </w:rPr>
        <w:t>0% changes in their operating cash f</w:t>
      </w:r>
      <w:r w:rsidRPr="00B706EA">
        <w:rPr>
          <w:rFonts w:ascii="Times New Roman" w:eastAsia="Times New Roman" w:hAnsi="Times New Roman" w:cs="Times New Roman"/>
          <w:sz w:val="20"/>
          <w:szCs w:val="20"/>
        </w:rPr>
        <w:t xml:space="preserve">lows. Hospital data shows that 15 have PPE over 100% of OCF, 22 between 50% and 100%, and 5 between 20% and 49%. Overall for 2012, all hospitals will have seen an over 35% </w:t>
      </w:r>
      <w:r w:rsidR="00BE7F16">
        <w:rPr>
          <w:rFonts w:ascii="Times New Roman" w:eastAsia="Times New Roman" w:hAnsi="Times New Roman" w:cs="Times New Roman"/>
          <w:sz w:val="20"/>
          <w:szCs w:val="20"/>
        </w:rPr>
        <w:t>change in their reporting of operating cash f</w:t>
      </w:r>
      <w:r w:rsidR="00FB65A4">
        <w:rPr>
          <w:rFonts w:ascii="Times New Roman" w:eastAsia="Times New Roman" w:hAnsi="Times New Roman" w:cs="Times New Roman"/>
          <w:sz w:val="20"/>
          <w:szCs w:val="20"/>
        </w:rPr>
        <w:t>lows</w:t>
      </w:r>
      <w:r w:rsidRPr="00B706EA">
        <w:rPr>
          <w:rFonts w:ascii="Times New Roman" w:eastAsia="Times New Roman" w:hAnsi="Times New Roman" w:cs="Times New Roman"/>
          <w:sz w:val="20"/>
          <w:szCs w:val="20"/>
        </w:rPr>
        <w:t>.</w:t>
      </w:r>
    </w:p>
    <w:p w:rsidR="00E0091A" w:rsidRPr="00B706EA" w:rsidRDefault="00E0091A" w:rsidP="000E4548">
      <w:pPr>
        <w:ind w:firstLine="720"/>
        <w:jc w:val="both"/>
        <w:rPr>
          <w:rFonts w:ascii="Times New Roman" w:hAnsi="Times New Roman" w:cs="Times New Roman"/>
          <w:sz w:val="20"/>
          <w:szCs w:val="20"/>
        </w:rPr>
      </w:pPr>
    </w:p>
    <w:p w:rsidR="00E0091A" w:rsidRPr="00B706EA" w:rsidRDefault="00FB65A4" w:rsidP="000E4548">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For 2013 </w:t>
      </w:r>
      <w:r w:rsidR="00177696" w:rsidRPr="00B706EA">
        <w:rPr>
          <w:rFonts w:ascii="Times New Roman" w:eastAsia="Times New Roman" w:hAnsi="Times New Roman" w:cs="Times New Roman"/>
          <w:sz w:val="20"/>
          <w:szCs w:val="20"/>
        </w:rPr>
        <w:t>8 char</w:t>
      </w:r>
      <w:r w:rsidR="007E195F">
        <w:rPr>
          <w:rFonts w:ascii="Times New Roman" w:eastAsia="Times New Roman" w:hAnsi="Times New Roman" w:cs="Times New Roman"/>
          <w:sz w:val="20"/>
          <w:szCs w:val="20"/>
        </w:rPr>
        <w:t xml:space="preserve">ities have PPE over 100% of OCF, 9 between 50%-100%, </w:t>
      </w:r>
      <w:r w:rsidR="00177696" w:rsidRPr="00B706EA">
        <w:rPr>
          <w:rFonts w:ascii="Times New Roman" w:eastAsia="Times New Roman" w:hAnsi="Times New Roman" w:cs="Times New Roman"/>
          <w:sz w:val="20"/>
          <w:szCs w:val="20"/>
        </w:rPr>
        <w:t>and 5 between 20%-49%. Overall for 2013, 24 out of 47 charities</w:t>
      </w:r>
      <w:r w:rsidR="008440EA">
        <w:rPr>
          <w:rFonts w:ascii="Times New Roman" w:eastAsia="Times New Roman" w:hAnsi="Times New Roman" w:cs="Times New Roman"/>
          <w:sz w:val="20"/>
          <w:szCs w:val="20"/>
        </w:rPr>
        <w:t xml:space="preserve"> will see an over 20% changes in their operating cash f</w:t>
      </w:r>
      <w:r w:rsidR="00177696" w:rsidRPr="00B706EA">
        <w:rPr>
          <w:rFonts w:ascii="Times New Roman" w:eastAsia="Times New Roman" w:hAnsi="Times New Roman" w:cs="Times New Roman"/>
          <w:sz w:val="20"/>
          <w:szCs w:val="20"/>
        </w:rPr>
        <w:t>low</w:t>
      </w:r>
      <w:r>
        <w:rPr>
          <w:rFonts w:ascii="Times New Roman" w:eastAsia="Times New Roman" w:hAnsi="Times New Roman" w:cs="Times New Roman"/>
          <w:sz w:val="20"/>
          <w:szCs w:val="20"/>
        </w:rPr>
        <w:t>s</w:t>
      </w:r>
      <w:r w:rsidR="00177696" w:rsidRPr="00B706EA">
        <w:rPr>
          <w:rFonts w:ascii="Times New Roman" w:eastAsia="Times New Roman" w:hAnsi="Times New Roman" w:cs="Times New Roman"/>
          <w:sz w:val="20"/>
          <w:szCs w:val="20"/>
        </w:rPr>
        <w:t>. Twelve hospitals have PPE over 100% of OCF, 22 between 50% and 100%, and 11 between 20%-49%. Thus, all hospitals will have report</w:t>
      </w:r>
      <w:r w:rsidR="00BE7F16">
        <w:rPr>
          <w:rFonts w:ascii="Times New Roman" w:eastAsia="Times New Roman" w:hAnsi="Times New Roman" w:cs="Times New Roman"/>
          <w:sz w:val="20"/>
          <w:szCs w:val="20"/>
        </w:rPr>
        <w:t>ed an over 20% change in their operating cash f</w:t>
      </w:r>
      <w:r w:rsidR="00177696" w:rsidRPr="00B706EA">
        <w:rPr>
          <w:rFonts w:ascii="Times New Roman" w:eastAsia="Times New Roman" w:hAnsi="Times New Roman" w:cs="Times New Roman"/>
          <w:sz w:val="20"/>
          <w:szCs w:val="20"/>
        </w:rPr>
        <w:t>low</w:t>
      </w:r>
      <w:r>
        <w:rPr>
          <w:rFonts w:ascii="Times New Roman" w:eastAsia="Times New Roman" w:hAnsi="Times New Roman" w:cs="Times New Roman"/>
          <w:sz w:val="20"/>
          <w:szCs w:val="20"/>
        </w:rPr>
        <w:t>s</w:t>
      </w:r>
      <w:r w:rsidR="00177696" w:rsidRPr="00B706EA">
        <w:rPr>
          <w:rFonts w:ascii="Times New Roman" w:eastAsia="Times New Roman" w:hAnsi="Times New Roman" w:cs="Times New Roman"/>
          <w:sz w:val="20"/>
          <w:szCs w:val="20"/>
        </w:rPr>
        <w:t xml:space="preserve">. </w:t>
      </w:r>
    </w:p>
    <w:p w:rsidR="00E0091A" w:rsidRPr="00B706EA" w:rsidRDefault="00E0091A" w:rsidP="000E4548">
      <w:pPr>
        <w:ind w:firstLine="720"/>
        <w:jc w:val="both"/>
        <w:rPr>
          <w:rFonts w:ascii="Times New Roman" w:hAnsi="Times New Roman" w:cs="Times New Roman"/>
          <w:sz w:val="20"/>
          <w:szCs w:val="20"/>
        </w:rPr>
      </w:pPr>
    </w:p>
    <w:p w:rsidR="00E0091A" w:rsidRPr="00B706EA" w:rsidRDefault="00FB65A4" w:rsidP="000E4548">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For 2014, </w:t>
      </w:r>
      <w:r w:rsidR="00177696" w:rsidRPr="00B706EA">
        <w:rPr>
          <w:rFonts w:ascii="Times New Roman" w:eastAsia="Times New Roman" w:hAnsi="Times New Roman" w:cs="Times New Roman"/>
          <w:sz w:val="20"/>
          <w:szCs w:val="20"/>
        </w:rPr>
        <w:t>7 charities have PPE over 100% of OCF, 8 between 50%-100%, and 11 between 20%-49%. Overall, 26 out of 41 charities would have seen an over 20</w:t>
      </w:r>
      <w:r w:rsidR="008440EA">
        <w:rPr>
          <w:rFonts w:ascii="Times New Roman" w:eastAsia="Times New Roman" w:hAnsi="Times New Roman" w:cs="Times New Roman"/>
          <w:sz w:val="20"/>
          <w:szCs w:val="20"/>
        </w:rPr>
        <w:t>% change in their operating c</w:t>
      </w:r>
      <w:r w:rsidR="00177696" w:rsidRPr="00B706EA">
        <w:rPr>
          <w:rFonts w:ascii="Times New Roman" w:eastAsia="Times New Roman" w:hAnsi="Times New Roman" w:cs="Times New Roman"/>
          <w:sz w:val="20"/>
          <w:szCs w:val="20"/>
        </w:rPr>
        <w:t>as</w:t>
      </w:r>
      <w:r w:rsidR="008440EA">
        <w:rPr>
          <w:rFonts w:ascii="Times New Roman" w:eastAsia="Times New Roman" w:hAnsi="Times New Roman" w:cs="Times New Roman"/>
          <w:sz w:val="20"/>
          <w:szCs w:val="20"/>
        </w:rPr>
        <w:t>h f</w:t>
      </w:r>
      <w:r>
        <w:rPr>
          <w:rFonts w:ascii="Times New Roman" w:eastAsia="Times New Roman" w:hAnsi="Times New Roman" w:cs="Times New Roman"/>
          <w:sz w:val="20"/>
          <w:szCs w:val="20"/>
        </w:rPr>
        <w:t>lows. Ten</w:t>
      </w:r>
      <w:r w:rsidR="00177696" w:rsidRPr="00B706EA">
        <w:rPr>
          <w:rFonts w:ascii="Times New Roman" w:eastAsia="Times New Roman" w:hAnsi="Times New Roman" w:cs="Times New Roman"/>
          <w:sz w:val="20"/>
          <w:szCs w:val="20"/>
        </w:rPr>
        <w:t xml:space="preserve"> hospitals have PPE over 100% of OCF, 20 between 50% and 100%, and 11 between 20% and 49%. Overall, 41 o</w:t>
      </w:r>
      <w:r>
        <w:rPr>
          <w:rFonts w:ascii="Times New Roman" w:eastAsia="Times New Roman" w:hAnsi="Times New Roman" w:cs="Times New Roman"/>
          <w:sz w:val="20"/>
          <w:szCs w:val="20"/>
        </w:rPr>
        <w:t>ut of 42 hospitals will have reported a</w:t>
      </w:r>
      <w:r w:rsidR="00177696" w:rsidRPr="00B706EA">
        <w:rPr>
          <w:rFonts w:ascii="Times New Roman" w:eastAsia="Times New Roman" w:hAnsi="Times New Roman" w:cs="Times New Roman"/>
          <w:sz w:val="20"/>
          <w:szCs w:val="20"/>
        </w:rPr>
        <w:t>n over 2</w:t>
      </w:r>
      <w:r>
        <w:rPr>
          <w:rFonts w:ascii="Times New Roman" w:eastAsia="Times New Roman" w:hAnsi="Times New Roman" w:cs="Times New Roman"/>
          <w:sz w:val="20"/>
          <w:szCs w:val="20"/>
        </w:rPr>
        <w:t xml:space="preserve">0% change in their </w:t>
      </w:r>
      <w:r w:rsidR="00BE7F16">
        <w:rPr>
          <w:rFonts w:ascii="Times New Roman" w:eastAsia="Times New Roman" w:hAnsi="Times New Roman" w:cs="Times New Roman"/>
          <w:sz w:val="20"/>
          <w:szCs w:val="20"/>
        </w:rPr>
        <w:t>operating cash f</w:t>
      </w:r>
      <w:r w:rsidR="00177696" w:rsidRPr="00B706EA">
        <w:rPr>
          <w:rFonts w:ascii="Times New Roman" w:eastAsia="Times New Roman" w:hAnsi="Times New Roman" w:cs="Times New Roman"/>
          <w:sz w:val="20"/>
          <w:szCs w:val="20"/>
        </w:rPr>
        <w:t xml:space="preserve">lows. </w:t>
      </w:r>
    </w:p>
    <w:p w:rsidR="00E0091A" w:rsidRPr="00B706EA" w:rsidRDefault="00E0091A" w:rsidP="000E4548">
      <w:pPr>
        <w:ind w:firstLine="720"/>
        <w:jc w:val="both"/>
        <w:rPr>
          <w:rFonts w:ascii="Times New Roman" w:hAnsi="Times New Roman" w:cs="Times New Roman"/>
          <w:sz w:val="20"/>
          <w:szCs w:val="20"/>
        </w:rPr>
      </w:pPr>
    </w:p>
    <w:p w:rsidR="00E0091A" w:rsidRPr="00B706EA" w:rsidRDefault="008440EA" w:rsidP="000E4548">
      <w:pPr>
        <w:ind w:firstLine="720"/>
        <w:jc w:val="both"/>
        <w:rPr>
          <w:rFonts w:ascii="Times New Roman" w:hAnsi="Times New Roman" w:cs="Times New Roman"/>
          <w:sz w:val="20"/>
          <w:szCs w:val="20"/>
        </w:rPr>
      </w:pPr>
      <w:r>
        <w:rPr>
          <w:rFonts w:ascii="Times New Roman" w:eastAsia="Times New Roman" w:hAnsi="Times New Roman" w:cs="Times New Roman"/>
          <w:sz w:val="20"/>
          <w:szCs w:val="20"/>
        </w:rPr>
        <w:t>T</w:t>
      </w:r>
      <w:r w:rsidR="007E195F">
        <w:rPr>
          <w:rFonts w:ascii="Times New Roman" w:eastAsia="Times New Roman" w:hAnsi="Times New Roman" w:cs="Times New Roman"/>
          <w:sz w:val="20"/>
          <w:szCs w:val="20"/>
        </w:rPr>
        <w:t>he five-</w:t>
      </w:r>
      <w:r w:rsidR="00177696" w:rsidRPr="00B706EA">
        <w:rPr>
          <w:rFonts w:ascii="Times New Roman" w:eastAsia="Times New Roman" w:hAnsi="Times New Roman" w:cs="Times New Roman"/>
          <w:sz w:val="20"/>
          <w:szCs w:val="20"/>
        </w:rPr>
        <w:t>year comparison shows th</w:t>
      </w:r>
      <w:r>
        <w:rPr>
          <w:rFonts w:ascii="Times New Roman" w:eastAsia="Times New Roman" w:hAnsi="Times New Roman" w:cs="Times New Roman"/>
          <w:sz w:val="20"/>
          <w:szCs w:val="20"/>
        </w:rPr>
        <w:t>at more hospitals than charities will have experienced</w:t>
      </w:r>
      <w:r w:rsidR="00177696" w:rsidRPr="00B706EA">
        <w:rPr>
          <w:rFonts w:ascii="Times New Roman" w:eastAsia="Times New Roman" w:hAnsi="Times New Roman" w:cs="Times New Roman"/>
          <w:sz w:val="20"/>
          <w:szCs w:val="20"/>
        </w:rPr>
        <w:t xml:space="preserve"> </w:t>
      </w:r>
      <w:r w:rsidR="00A5237A">
        <w:rPr>
          <w:rFonts w:ascii="Times New Roman" w:eastAsia="Times New Roman" w:hAnsi="Times New Roman" w:cs="Times New Roman"/>
          <w:sz w:val="20"/>
          <w:szCs w:val="20"/>
        </w:rPr>
        <w:t xml:space="preserve">an </w:t>
      </w:r>
      <w:r>
        <w:rPr>
          <w:rFonts w:ascii="Times New Roman" w:eastAsia="Times New Roman" w:hAnsi="Times New Roman" w:cs="Times New Roman"/>
          <w:sz w:val="20"/>
          <w:szCs w:val="20"/>
        </w:rPr>
        <w:t>over 100% change</w:t>
      </w:r>
      <w:r w:rsidR="00177696" w:rsidRPr="00B706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Specifically, a</w:t>
      </w:r>
      <w:r w:rsidR="00177696" w:rsidRPr="00B706EA">
        <w:rPr>
          <w:rFonts w:ascii="Times New Roman" w:eastAsia="Times New Roman" w:hAnsi="Times New Roman" w:cs="Times New Roman"/>
          <w:sz w:val="20"/>
          <w:szCs w:val="20"/>
        </w:rPr>
        <w:t>bout half of the hospitals in our sample will report between 50% and 100% chan</w:t>
      </w:r>
      <w:r>
        <w:rPr>
          <w:rFonts w:ascii="Times New Roman" w:eastAsia="Times New Roman" w:hAnsi="Times New Roman" w:cs="Times New Roman"/>
          <w:sz w:val="20"/>
          <w:szCs w:val="20"/>
        </w:rPr>
        <w:t>ge in their operating cash f</w:t>
      </w:r>
      <w:r w:rsidR="00087769">
        <w:rPr>
          <w:rFonts w:ascii="Times New Roman" w:eastAsia="Times New Roman" w:hAnsi="Times New Roman" w:cs="Times New Roman"/>
          <w:sz w:val="20"/>
          <w:szCs w:val="20"/>
        </w:rPr>
        <w:t>lows</w:t>
      </w:r>
      <w:r>
        <w:rPr>
          <w:rFonts w:ascii="Times New Roman" w:eastAsia="Times New Roman" w:hAnsi="Times New Roman" w:cs="Times New Roman"/>
          <w:sz w:val="20"/>
          <w:szCs w:val="20"/>
        </w:rPr>
        <w:t xml:space="preserve"> </w:t>
      </w:r>
      <w:r w:rsidR="00177696" w:rsidRPr="00B706EA">
        <w:rPr>
          <w:rFonts w:ascii="Times New Roman" w:eastAsia="Times New Roman" w:hAnsi="Times New Roman" w:cs="Times New Roman"/>
          <w:sz w:val="20"/>
          <w:szCs w:val="20"/>
        </w:rPr>
        <w:t>whereas only 11% to 20% of charities will have similar changes. The total&gt;20% column shows that almost all of our sample hospitals will have seen more than 20% changes</w:t>
      </w:r>
      <w:r>
        <w:rPr>
          <w:rFonts w:ascii="Times New Roman" w:eastAsia="Times New Roman" w:hAnsi="Times New Roman" w:cs="Times New Roman"/>
          <w:sz w:val="20"/>
          <w:szCs w:val="20"/>
        </w:rPr>
        <w:t xml:space="preserve"> in their operating cash f</w:t>
      </w:r>
      <w:r w:rsidR="00087769">
        <w:rPr>
          <w:rFonts w:ascii="Times New Roman" w:eastAsia="Times New Roman" w:hAnsi="Times New Roman" w:cs="Times New Roman"/>
          <w:sz w:val="20"/>
          <w:szCs w:val="20"/>
        </w:rPr>
        <w:t>lows</w:t>
      </w:r>
      <w:r w:rsidR="00A523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compared to only</w:t>
      </w:r>
      <w:r w:rsidR="00177696" w:rsidRPr="00B706EA">
        <w:rPr>
          <w:rFonts w:ascii="Times New Roman" w:eastAsia="Times New Roman" w:hAnsi="Times New Roman" w:cs="Times New Roman"/>
          <w:sz w:val="20"/>
          <w:szCs w:val="20"/>
        </w:rPr>
        <w:t xml:space="preserve"> half of the charities.</w:t>
      </w:r>
    </w:p>
    <w:p w:rsidR="00E0091A" w:rsidRPr="00B706EA" w:rsidRDefault="00177696">
      <w:pPr>
        <w:rPr>
          <w:rFonts w:ascii="Times New Roman" w:hAnsi="Times New Roman" w:cs="Times New Roman"/>
          <w:sz w:val="20"/>
          <w:szCs w:val="20"/>
        </w:rPr>
      </w:pPr>
      <w:r w:rsidRPr="00B706EA">
        <w:rPr>
          <w:rFonts w:ascii="Times New Roman" w:eastAsia="Times New Roman" w:hAnsi="Times New Roman" w:cs="Times New Roman"/>
          <w:sz w:val="20"/>
          <w:szCs w:val="20"/>
        </w:rPr>
        <w:t xml:space="preserve"> </w:t>
      </w:r>
    </w:p>
    <w:tbl>
      <w:tblPr>
        <w:tblStyle w:val="1"/>
        <w:tblW w:w="84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24"/>
        <w:gridCol w:w="810"/>
        <w:gridCol w:w="810"/>
        <w:gridCol w:w="900"/>
        <w:gridCol w:w="900"/>
        <w:gridCol w:w="900"/>
        <w:gridCol w:w="813"/>
        <w:gridCol w:w="810"/>
      </w:tblGrid>
      <w:tr w:rsidR="00E0091A" w:rsidRPr="00B706EA">
        <w:trPr>
          <w:trHeight w:val="200"/>
        </w:trPr>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b/>
                <w:sz w:val="20"/>
                <w:szCs w:val="20"/>
              </w:rPr>
              <w:t>Table 6</w:t>
            </w:r>
          </w:p>
        </w:tc>
        <w:tc>
          <w:tcPr>
            <w:tcW w:w="6767" w:type="dxa"/>
            <w:gridSpan w:val="8"/>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Comparison between Charities (C) and Hospitals (H)</w:t>
            </w:r>
          </w:p>
        </w:tc>
      </w:tr>
      <w:tr w:rsidR="00E0091A" w:rsidRPr="00B706EA">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E0091A">
            <w:pPr>
              <w:contextualSpacing w:val="0"/>
              <w:rPr>
                <w:rFonts w:ascii="Times New Roman" w:hAnsi="Times New Roman" w:cs="Times New Roman"/>
                <w:sz w:val="20"/>
                <w:szCs w:val="20"/>
              </w:rPr>
            </w:pPr>
          </w:p>
        </w:tc>
        <w:tc>
          <w:tcPr>
            <w:tcW w:w="1634" w:type="dxa"/>
            <w:gridSpan w:val="2"/>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jc w:val="center"/>
              <w:rPr>
                <w:rFonts w:ascii="Times New Roman" w:hAnsi="Times New Roman" w:cs="Times New Roman"/>
                <w:sz w:val="20"/>
                <w:szCs w:val="20"/>
              </w:rPr>
            </w:pPr>
            <w:r w:rsidRPr="00B706EA">
              <w:rPr>
                <w:rFonts w:ascii="Times New Roman" w:eastAsia="Times New Roman" w:hAnsi="Times New Roman" w:cs="Times New Roman"/>
                <w:sz w:val="20"/>
                <w:szCs w:val="20"/>
              </w:rPr>
              <w:t>&gt;100% change</w:t>
            </w:r>
          </w:p>
        </w:tc>
        <w:tc>
          <w:tcPr>
            <w:tcW w:w="1710" w:type="dxa"/>
            <w:gridSpan w:val="2"/>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50-100% change</w:t>
            </w:r>
          </w:p>
        </w:tc>
        <w:tc>
          <w:tcPr>
            <w:tcW w:w="1800" w:type="dxa"/>
            <w:gridSpan w:val="2"/>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20-49% change</w:t>
            </w:r>
          </w:p>
        </w:tc>
        <w:tc>
          <w:tcPr>
            <w:tcW w:w="1623" w:type="dxa"/>
            <w:gridSpan w:val="2"/>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Total &gt;20%</w:t>
            </w:r>
          </w:p>
        </w:tc>
      </w:tr>
      <w:tr w:rsidR="00E0091A" w:rsidRPr="00B706EA">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E0091A">
            <w:pPr>
              <w:contextualSpacing w:val="0"/>
              <w:rPr>
                <w:rFonts w:ascii="Times New Roman" w:hAnsi="Times New Roman" w:cs="Times New Roman"/>
                <w:sz w:val="20"/>
                <w:szCs w:val="20"/>
              </w:rPr>
            </w:pPr>
          </w:p>
        </w:tc>
        <w:tc>
          <w:tcPr>
            <w:tcW w:w="824"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w:t>
            </w:r>
          </w:p>
        </w:tc>
        <w:tc>
          <w:tcPr>
            <w:tcW w:w="813"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H</w:t>
            </w:r>
          </w:p>
        </w:tc>
      </w:tr>
      <w:tr w:rsidR="00E0091A" w:rsidRPr="00B706EA">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2014</w:t>
            </w:r>
          </w:p>
        </w:tc>
        <w:tc>
          <w:tcPr>
            <w:tcW w:w="824"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17%</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24%</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48%</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27%</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26%</w:t>
            </w:r>
          </w:p>
        </w:tc>
        <w:tc>
          <w:tcPr>
            <w:tcW w:w="813"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63%</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98%</w:t>
            </w:r>
          </w:p>
        </w:tc>
      </w:tr>
      <w:tr w:rsidR="00E0091A" w:rsidRPr="00B706EA">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2013</w:t>
            </w:r>
          </w:p>
        </w:tc>
        <w:tc>
          <w:tcPr>
            <w:tcW w:w="824"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18%</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27%</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49%</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11%</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24%</w:t>
            </w:r>
          </w:p>
        </w:tc>
        <w:tc>
          <w:tcPr>
            <w:tcW w:w="813"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49%</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100%</w:t>
            </w:r>
          </w:p>
        </w:tc>
      </w:tr>
      <w:tr w:rsidR="00E0091A" w:rsidRPr="00B706EA">
        <w:trPr>
          <w:trHeight w:val="60"/>
        </w:trPr>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2012</w:t>
            </w:r>
          </w:p>
        </w:tc>
        <w:tc>
          <w:tcPr>
            <w:tcW w:w="824"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23%</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36%</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13%</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52%</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15%</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12%</w:t>
            </w:r>
          </w:p>
        </w:tc>
        <w:tc>
          <w:tcPr>
            <w:tcW w:w="813"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51%</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100%</w:t>
            </w:r>
          </w:p>
        </w:tc>
      </w:tr>
      <w:tr w:rsidR="00E0091A" w:rsidRPr="00B706EA">
        <w:trPr>
          <w:trHeight w:val="60"/>
        </w:trPr>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2011</w:t>
            </w:r>
          </w:p>
        </w:tc>
        <w:tc>
          <w:tcPr>
            <w:tcW w:w="824"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24%</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41%</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12%</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49%</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14%</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w:t>
            </w:r>
          </w:p>
        </w:tc>
        <w:tc>
          <w:tcPr>
            <w:tcW w:w="813"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50%</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100%</w:t>
            </w:r>
          </w:p>
        </w:tc>
      </w:tr>
      <w:tr w:rsidR="00E0091A" w:rsidRPr="00B706EA">
        <w:trPr>
          <w:trHeight w:val="60"/>
        </w:trPr>
        <w:tc>
          <w:tcPr>
            <w:tcW w:w="1638"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2010</w:t>
            </w:r>
          </w:p>
        </w:tc>
        <w:tc>
          <w:tcPr>
            <w:tcW w:w="824"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22%</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29%</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11%</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54%</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19%</w:t>
            </w:r>
          </w:p>
        </w:tc>
        <w:tc>
          <w:tcPr>
            <w:tcW w:w="90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17%</w:t>
            </w:r>
          </w:p>
        </w:tc>
        <w:tc>
          <w:tcPr>
            <w:tcW w:w="813"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51%</w:t>
            </w:r>
          </w:p>
        </w:tc>
        <w:tc>
          <w:tcPr>
            <w:tcW w:w="810" w:type="dxa"/>
            <w:tcBorders>
              <w:top w:val="single" w:sz="4" w:space="0" w:color="000000"/>
              <w:left w:val="single" w:sz="4" w:space="0" w:color="000000"/>
              <w:bottom w:val="single" w:sz="4" w:space="0" w:color="000000"/>
              <w:right w:val="single" w:sz="4" w:space="0" w:color="000000"/>
            </w:tcBorders>
          </w:tcPr>
          <w:p w:rsidR="00E0091A" w:rsidRPr="00B706EA" w:rsidRDefault="00177696">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100%</w:t>
            </w:r>
          </w:p>
        </w:tc>
      </w:tr>
    </w:tbl>
    <w:p w:rsidR="00E0091A" w:rsidRPr="00B706EA" w:rsidRDefault="00E0091A">
      <w:pPr>
        <w:ind w:firstLine="720"/>
        <w:jc w:val="both"/>
        <w:rPr>
          <w:rFonts w:ascii="Times New Roman" w:hAnsi="Times New Roman" w:cs="Times New Roman"/>
          <w:sz w:val="20"/>
          <w:szCs w:val="20"/>
        </w:rPr>
      </w:pPr>
    </w:p>
    <w:p w:rsidR="00E0091A" w:rsidRPr="00D36528"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In summary,</w:t>
      </w:r>
      <w:r w:rsidRPr="00B706EA">
        <w:rPr>
          <w:rFonts w:ascii="Times New Roman" w:eastAsia="Times New Roman" w:hAnsi="Times New Roman" w:cs="Times New Roman"/>
          <w:b/>
          <w:sz w:val="20"/>
          <w:szCs w:val="20"/>
        </w:rPr>
        <w:t xml:space="preserve"> </w:t>
      </w:r>
      <w:r w:rsidRPr="00B706EA">
        <w:rPr>
          <w:rFonts w:ascii="Times New Roman" w:eastAsia="Times New Roman" w:hAnsi="Times New Roman" w:cs="Times New Roman"/>
          <w:sz w:val="20"/>
          <w:szCs w:val="20"/>
        </w:rPr>
        <w:t>this research documents th</w:t>
      </w:r>
      <w:r w:rsidR="008440EA">
        <w:rPr>
          <w:rFonts w:ascii="Times New Roman" w:eastAsia="Times New Roman" w:hAnsi="Times New Roman" w:cs="Times New Roman"/>
          <w:sz w:val="20"/>
          <w:szCs w:val="20"/>
        </w:rPr>
        <w:t>e magnitude of changes between Old OCF and N</w:t>
      </w:r>
      <w:r w:rsidRPr="00B706EA">
        <w:rPr>
          <w:rFonts w:ascii="Times New Roman" w:eastAsia="Times New Roman" w:hAnsi="Times New Roman" w:cs="Times New Roman"/>
          <w:sz w:val="20"/>
          <w:szCs w:val="20"/>
        </w:rPr>
        <w:t>ew OCF (what will be reported if PPE purchases an</w:t>
      </w:r>
      <w:r w:rsidR="008440EA">
        <w:rPr>
          <w:rFonts w:ascii="Times New Roman" w:eastAsia="Times New Roman" w:hAnsi="Times New Roman" w:cs="Times New Roman"/>
          <w:sz w:val="20"/>
          <w:szCs w:val="20"/>
        </w:rPr>
        <w:t>d sales are reclassified as an operating cash f</w:t>
      </w:r>
      <w:r w:rsidRPr="00B706EA">
        <w:rPr>
          <w:rFonts w:ascii="Times New Roman" w:eastAsia="Times New Roman" w:hAnsi="Times New Roman" w:cs="Times New Roman"/>
          <w:sz w:val="20"/>
          <w:szCs w:val="20"/>
        </w:rPr>
        <w:t>low).  An interesting fi</w:t>
      </w:r>
      <w:r w:rsidR="008440EA">
        <w:rPr>
          <w:rFonts w:ascii="Times New Roman" w:eastAsia="Times New Roman" w:hAnsi="Times New Roman" w:cs="Times New Roman"/>
          <w:sz w:val="20"/>
          <w:szCs w:val="20"/>
        </w:rPr>
        <w:t xml:space="preserve">nding is that the impact of </w:t>
      </w:r>
      <w:r w:rsidRPr="00B706EA">
        <w:rPr>
          <w:rFonts w:ascii="Times New Roman" w:eastAsia="Times New Roman" w:hAnsi="Times New Roman" w:cs="Times New Roman"/>
          <w:sz w:val="20"/>
          <w:szCs w:val="20"/>
        </w:rPr>
        <w:t xml:space="preserve">FASB’s proposed reclassification is significantly larger on hospitals than on charities.  For the hospitals in our sample, 99.6% </w:t>
      </w:r>
      <w:r w:rsidR="00A5237A">
        <w:rPr>
          <w:rFonts w:ascii="Times New Roman" w:eastAsia="Times New Roman" w:hAnsi="Times New Roman" w:cs="Times New Roman"/>
          <w:sz w:val="20"/>
          <w:szCs w:val="20"/>
        </w:rPr>
        <w:t xml:space="preserve">of hospitals </w:t>
      </w:r>
      <w:r w:rsidRPr="00B706EA">
        <w:rPr>
          <w:rFonts w:ascii="Times New Roman" w:eastAsia="Times New Roman" w:hAnsi="Times New Roman" w:cs="Times New Roman"/>
          <w:sz w:val="20"/>
          <w:szCs w:val="20"/>
        </w:rPr>
        <w:t>experienced a gr</w:t>
      </w:r>
      <w:r w:rsidR="008440EA">
        <w:rPr>
          <w:rFonts w:ascii="Times New Roman" w:eastAsia="Times New Roman" w:hAnsi="Times New Roman" w:cs="Times New Roman"/>
          <w:sz w:val="20"/>
          <w:szCs w:val="20"/>
        </w:rPr>
        <w:t>eater than 20% change in their N</w:t>
      </w:r>
      <w:r w:rsidRPr="00B706EA">
        <w:rPr>
          <w:rFonts w:ascii="Times New Roman" w:eastAsia="Times New Roman" w:hAnsi="Times New Roman" w:cs="Times New Roman"/>
          <w:sz w:val="20"/>
          <w:szCs w:val="20"/>
        </w:rPr>
        <w:t>ew OCF over the pas</w:t>
      </w:r>
      <w:r w:rsidR="002F66A5">
        <w:rPr>
          <w:rFonts w:ascii="Times New Roman" w:eastAsia="Times New Roman" w:hAnsi="Times New Roman" w:cs="Times New Roman"/>
          <w:sz w:val="20"/>
          <w:szCs w:val="20"/>
        </w:rPr>
        <w:t>t five years compared to 52.6% of</w:t>
      </w:r>
      <w:r w:rsidR="008440EA">
        <w:rPr>
          <w:rFonts w:ascii="Times New Roman" w:eastAsia="Times New Roman" w:hAnsi="Times New Roman" w:cs="Times New Roman"/>
          <w:sz w:val="20"/>
          <w:szCs w:val="20"/>
        </w:rPr>
        <w:t xml:space="preserve"> charities.   In some cases, O</w:t>
      </w:r>
      <w:r w:rsidRPr="00B706EA">
        <w:rPr>
          <w:rFonts w:ascii="Times New Roman" w:eastAsia="Times New Roman" w:hAnsi="Times New Roman" w:cs="Times New Roman"/>
          <w:sz w:val="20"/>
          <w:szCs w:val="20"/>
        </w:rPr>
        <w:t xml:space="preserve">ld OCF was entirely wiped out by FASB’s proposed reclassification. </w:t>
      </w:r>
      <w:r w:rsidRPr="00D36528">
        <w:rPr>
          <w:rFonts w:ascii="Times New Roman" w:eastAsia="Times New Roman" w:hAnsi="Times New Roman" w:cs="Times New Roman"/>
          <w:sz w:val="20"/>
          <w:szCs w:val="20"/>
        </w:rPr>
        <w:t>In general, hospitals h</w:t>
      </w:r>
      <w:r w:rsidR="008440EA" w:rsidRPr="00D36528">
        <w:rPr>
          <w:rFonts w:ascii="Times New Roman" w:eastAsia="Times New Roman" w:hAnsi="Times New Roman" w:cs="Times New Roman"/>
          <w:sz w:val="20"/>
          <w:szCs w:val="20"/>
        </w:rPr>
        <w:t>ad larger and less volatile O</w:t>
      </w:r>
      <w:r w:rsidRPr="00D36528">
        <w:rPr>
          <w:rFonts w:ascii="Times New Roman" w:eastAsia="Times New Roman" w:hAnsi="Times New Roman" w:cs="Times New Roman"/>
          <w:sz w:val="20"/>
          <w:szCs w:val="20"/>
        </w:rPr>
        <w:t>ld OCF</w:t>
      </w:r>
      <w:r w:rsidR="00A75C40">
        <w:rPr>
          <w:rFonts w:ascii="Times New Roman" w:eastAsia="Times New Roman" w:hAnsi="Times New Roman" w:cs="Times New Roman"/>
          <w:sz w:val="20"/>
          <w:szCs w:val="20"/>
        </w:rPr>
        <w:t xml:space="preserve"> (than charities)</w:t>
      </w:r>
      <w:r w:rsidRPr="00D36528">
        <w:rPr>
          <w:rFonts w:ascii="Times New Roman" w:eastAsia="Times New Roman" w:hAnsi="Times New Roman" w:cs="Times New Roman"/>
          <w:sz w:val="20"/>
          <w:szCs w:val="20"/>
        </w:rPr>
        <w:t xml:space="preserve"> that was significantly impacted by the reclassification of purc</w:t>
      </w:r>
      <w:r w:rsidR="00087769" w:rsidRPr="00D36528">
        <w:rPr>
          <w:rFonts w:ascii="Times New Roman" w:eastAsia="Times New Roman" w:hAnsi="Times New Roman" w:cs="Times New Roman"/>
          <w:sz w:val="20"/>
          <w:szCs w:val="20"/>
        </w:rPr>
        <w:t>hases and sales of PPE to operating activities in the Statement of Cash Flows.</w:t>
      </w:r>
    </w:p>
    <w:p w:rsidR="00E0091A" w:rsidRPr="00D36528" w:rsidRDefault="00E0091A">
      <w:pPr>
        <w:jc w:val="both"/>
        <w:rPr>
          <w:rFonts w:ascii="Times New Roman" w:hAnsi="Times New Roman" w:cs="Times New Roman"/>
          <w:sz w:val="20"/>
          <w:szCs w:val="20"/>
        </w:rPr>
      </w:pPr>
    </w:p>
    <w:p w:rsidR="00BE2FDD" w:rsidRDefault="00BE2FDD" w:rsidP="00BE2FDD">
      <w:pPr>
        <w:rPr>
          <w:rFonts w:ascii="Times New Roman" w:eastAsia="Times New Roman" w:hAnsi="Times New Roman" w:cs="Times New Roman"/>
          <w:i/>
          <w:sz w:val="20"/>
          <w:szCs w:val="20"/>
        </w:rPr>
      </w:pPr>
    </w:p>
    <w:p w:rsidR="00BE2FDD" w:rsidRDefault="00BE2FDD" w:rsidP="00BE2FDD">
      <w:pPr>
        <w:rPr>
          <w:rFonts w:ascii="Times New Roman" w:eastAsia="Times New Roman" w:hAnsi="Times New Roman" w:cs="Times New Roman"/>
          <w:i/>
          <w:sz w:val="20"/>
          <w:szCs w:val="20"/>
        </w:rPr>
      </w:pPr>
    </w:p>
    <w:p w:rsidR="00BE2FDD" w:rsidRDefault="00BE2FDD" w:rsidP="00BE2FDD">
      <w:pPr>
        <w:rPr>
          <w:rFonts w:ascii="Times New Roman" w:eastAsia="Times New Roman" w:hAnsi="Times New Roman" w:cs="Times New Roman"/>
          <w:i/>
          <w:sz w:val="20"/>
          <w:szCs w:val="20"/>
        </w:rPr>
      </w:pPr>
    </w:p>
    <w:p w:rsidR="00E0091A" w:rsidRPr="00BE2FDD" w:rsidRDefault="00177696" w:rsidP="00BE2FDD">
      <w:pPr>
        <w:jc w:val="center"/>
        <w:rPr>
          <w:rFonts w:ascii="Times New Roman" w:eastAsia="Times New Roman" w:hAnsi="Times New Roman" w:cs="Times New Roman"/>
          <w:b/>
          <w:sz w:val="20"/>
          <w:szCs w:val="20"/>
        </w:rPr>
      </w:pPr>
      <w:r w:rsidRPr="00B706EA">
        <w:rPr>
          <w:rFonts w:ascii="Times New Roman" w:eastAsia="Times New Roman" w:hAnsi="Times New Roman" w:cs="Times New Roman"/>
          <w:b/>
          <w:sz w:val="20"/>
          <w:szCs w:val="20"/>
        </w:rPr>
        <w:lastRenderedPageBreak/>
        <w:t>CONCLUSIONS AND SUGGESTIONS FOR FUTURE RESEARCH</w:t>
      </w:r>
    </w:p>
    <w:p w:rsidR="00E0091A" w:rsidRPr="00B706EA" w:rsidRDefault="00E0091A">
      <w:pPr>
        <w:jc w:val="center"/>
        <w:rPr>
          <w:rFonts w:ascii="Times New Roman" w:hAnsi="Times New Roman" w:cs="Times New Roman"/>
          <w:sz w:val="20"/>
          <w:szCs w:val="20"/>
        </w:rPr>
      </w:pPr>
    </w:p>
    <w:p w:rsidR="00103E4E" w:rsidRDefault="00087769">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research shows</w:t>
      </w:r>
      <w:r w:rsidR="00177696" w:rsidRPr="00B706EA">
        <w:rPr>
          <w:rFonts w:ascii="Times New Roman" w:eastAsia="Times New Roman" w:hAnsi="Times New Roman" w:cs="Times New Roman"/>
          <w:sz w:val="20"/>
          <w:szCs w:val="20"/>
        </w:rPr>
        <w:t xml:space="preserve"> that reclassifying purchases and sales of PPE from investi</w:t>
      </w:r>
      <w:r w:rsidR="00D118AD">
        <w:rPr>
          <w:rFonts w:ascii="Times New Roman" w:eastAsia="Times New Roman" w:hAnsi="Times New Roman" w:cs="Times New Roman"/>
          <w:sz w:val="20"/>
          <w:szCs w:val="20"/>
        </w:rPr>
        <w:t>ng to operating activities affects</w:t>
      </w:r>
      <w:r>
        <w:rPr>
          <w:rFonts w:ascii="Times New Roman" w:eastAsia="Times New Roman" w:hAnsi="Times New Roman" w:cs="Times New Roman"/>
          <w:sz w:val="20"/>
          <w:szCs w:val="20"/>
        </w:rPr>
        <w:t xml:space="preserve"> different types of not-for-profit</w:t>
      </w:r>
      <w:r w:rsidR="00177696" w:rsidRPr="00B706EA">
        <w:rPr>
          <w:rFonts w:ascii="Times New Roman" w:eastAsia="Times New Roman" w:hAnsi="Times New Roman" w:cs="Times New Roman"/>
          <w:sz w:val="20"/>
          <w:szCs w:val="20"/>
        </w:rPr>
        <w:t xml:space="preserve"> organizations differently.  Hospitals, representing the kind of not-for-profit that receive the majority of its revenues from private payments, had a significantly larger impact on cash flows from operating activities than did charities, representing the kind of not-for-profit that receives the majority of</w:t>
      </w:r>
      <w:r w:rsidR="000D4A52">
        <w:rPr>
          <w:rFonts w:ascii="Times New Roman" w:eastAsia="Times New Roman" w:hAnsi="Times New Roman" w:cs="Times New Roman"/>
          <w:sz w:val="20"/>
          <w:szCs w:val="20"/>
        </w:rPr>
        <w:t xml:space="preserve"> its revenues from donations.</w:t>
      </w:r>
    </w:p>
    <w:p w:rsidR="00103E4E" w:rsidRDefault="00103E4E">
      <w:pPr>
        <w:ind w:firstLine="720"/>
        <w:jc w:val="both"/>
        <w:rPr>
          <w:rFonts w:ascii="Times New Roman" w:eastAsia="Times New Roman" w:hAnsi="Times New Roman" w:cs="Times New Roman"/>
          <w:sz w:val="20"/>
          <w:szCs w:val="20"/>
        </w:rPr>
      </w:pPr>
    </w:p>
    <w:p w:rsidR="00E0091A" w:rsidRPr="00B706EA" w:rsidRDefault="00177696">
      <w:pPr>
        <w:ind w:firstLine="720"/>
        <w:jc w:val="both"/>
        <w:rPr>
          <w:rFonts w:ascii="Times New Roman" w:hAnsi="Times New Roman" w:cs="Times New Roman"/>
          <w:sz w:val="20"/>
          <w:szCs w:val="20"/>
        </w:rPr>
      </w:pPr>
      <w:r w:rsidRPr="00B706EA">
        <w:rPr>
          <w:rFonts w:ascii="Times New Roman" w:eastAsia="Times New Roman" w:hAnsi="Times New Roman" w:cs="Times New Roman"/>
          <w:sz w:val="20"/>
          <w:szCs w:val="20"/>
        </w:rPr>
        <w:t>Cash flow from operating activities is a measure commonly used to assess an organization’s financial health.  Financial statements are historical in nature and analysts use historical and current information to develop trends to predict into the future.  However, including th</w:t>
      </w:r>
      <w:r w:rsidR="00D118AD">
        <w:rPr>
          <w:rFonts w:ascii="Times New Roman" w:eastAsia="Times New Roman" w:hAnsi="Times New Roman" w:cs="Times New Roman"/>
          <w:sz w:val="20"/>
          <w:szCs w:val="20"/>
        </w:rPr>
        <w:t>e purchase and sale of PPE makes</w:t>
      </w:r>
      <w:r w:rsidRPr="00B706EA">
        <w:rPr>
          <w:rFonts w:ascii="Times New Roman" w:eastAsia="Times New Roman" w:hAnsi="Times New Roman" w:cs="Times New Roman"/>
          <w:sz w:val="20"/>
          <w:szCs w:val="20"/>
        </w:rPr>
        <w:t xml:space="preserve"> cash flows from operating activities more volatile and less predicta</w:t>
      </w:r>
      <w:r w:rsidR="00321031">
        <w:rPr>
          <w:rFonts w:ascii="Times New Roman" w:eastAsia="Times New Roman" w:hAnsi="Times New Roman" w:cs="Times New Roman"/>
          <w:sz w:val="20"/>
          <w:szCs w:val="20"/>
        </w:rPr>
        <w:t>ble, particularly for not-for-profits</w:t>
      </w:r>
      <w:r w:rsidRPr="00B706EA">
        <w:rPr>
          <w:rFonts w:ascii="Times New Roman" w:eastAsia="Times New Roman" w:hAnsi="Times New Roman" w:cs="Times New Roman"/>
          <w:sz w:val="20"/>
          <w:szCs w:val="20"/>
        </w:rPr>
        <w:t xml:space="preserve"> such as hospitals.  This measure may not be as useful as it had been to analysts.</w:t>
      </w:r>
    </w:p>
    <w:p w:rsidR="00E0091A" w:rsidRPr="00B706EA" w:rsidRDefault="00E0091A">
      <w:pPr>
        <w:ind w:firstLine="720"/>
        <w:jc w:val="both"/>
        <w:rPr>
          <w:rFonts w:ascii="Times New Roman" w:hAnsi="Times New Roman" w:cs="Times New Roman"/>
          <w:sz w:val="20"/>
          <w:szCs w:val="20"/>
        </w:rPr>
      </w:pPr>
    </w:p>
    <w:p w:rsidR="00321031" w:rsidRDefault="00FB65A4" w:rsidP="00321031">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mentioned above, a</w:t>
      </w:r>
      <w:r w:rsidR="00177696" w:rsidRPr="00B706EA">
        <w:rPr>
          <w:rFonts w:ascii="Times New Roman" w:eastAsia="Times New Roman" w:hAnsi="Times New Roman" w:cs="Times New Roman"/>
          <w:sz w:val="20"/>
          <w:szCs w:val="20"/>
        </w:rPr>
        <w:t xml:space="preserve"> member of the FASB Board suggested that the </w:t>
      </w:r>
      <w:r w:rsidR="00177696" w:rsidRPr="00B706EA">
        <w:rPr>
          <w:rFonts w:ascii="Times New Roman" w:eastAsia="Times New Roman" w:hAnsi="Times New Roman" w:cs="Times New Roman"/>
          <w:i/>
          <w:sz w:val="20"/>
          <w:szCs w:val="20"/>
        </w:rPr>
        <w:t>Proposed Accounting Standards Update</w:t>
      </w:r>
      <w:r w:rsidR="00177696" w:rsidRPr="00B706EA">
        <w:rPr>
          <w:rFonts w:ascii="Times New Roman" w:eastAsia="Times New Roman" w:hAnsi="Times New Roman" w:cs="Times New Roman"/>
          <w:sz w:val="20"/>
          <w:szCs w:val="20"/>
        </w:rPr>
        <w:t xml:space="preserve"> has led FASB board members to consider whether it should be extended to for-profit entities.  </w:t>
      </w:r>
      <w:r>
        <w:rPr>
          <w:rFonts w:ascii="Times New Roman" w:eastAsia="Times New Roman" w:hAnsi="Times New Roman" w:cs="Times New Roman"/>
          <w:sz w:val="20"/>
          <w:szCs w:val="20"/>
        </w:rPr>
        <w:t>Thus, t</w:t>
      </w:r>
      <w:r w:rsidR="00177696" w:rsidRPr="00B706EA">
        <w:rPr>
          <w:rFonts w:ascii="Times New Roman" w:eastAsia="Times New Roman" w:hAnsi="Times New Roman" w:cs="Times New Roman"/>
          <w:sz w:val="20"/>
          <w:szCs w:val="20"/>
        </w:rPr>
        <w:t>he update to SFAS No. 117 may influence FASB to make similar changes in SFAS No. 95.  Hospitals, with their revenues relying on private pay</w:t>
      </w:r>
      <w:r w:rsidR="00D118AD">
        <w:rPr>
          <w:rFonts w:ascii="Times New Roman" w:eastAsia="Times New Roman" w:hAnsi="Times New Roman" w:cs="Times New Roman"/>
          <w:sz w:val="20"/>
          <w:szCs w:val="20"/>
        </w:rPr>
        <w:t xml:space="preserve">ments, are one of the types of not-for-profit </w:t>
      </w:r>
      <w:r w:rsidR="00321031">
        <w:rPr>
          <w:rFonts w:ascii="Times New Roman" w:eastAsia="Times New Roman" w:hAnsi="Times New Roman" w:cs="Times New Roman"/>
          <w:sz w:val="20"/>
          <w:szCs w:val="20"/>
        </w:rPr>
        <w:t xml:space="preserve">entities most like </w:t>
      </w:r>
      <w:r w:rsidR="00177696" w:rsidRPr="00B706EA">
        <w:rPr>
          <w:rFonts w:ascii="Times New Roman" w:eastAsia="Times New Roman" w:hAnsi="Times New Roman" w:cs="Times New Roman"/>
          <w:sz w:val="20"/>
          <w:szCs w:val="20"/>
        </w:rPr>
        <w:t>for-profit entities.  Hospital cash flows from operating activities were significantly impacted by the reclassification of PPE purchases and sales.   We belie</w:t>
      </w:r>
      <w:r>
        <w:rPr>
          <w:rFonts w:ascii="Times New Roman" w:eastAsia="Times New Roman" w:hAnsi="Times New Roman" w:cs="Times New Roman"/>
          <w:sz w:val="20"/>
          <w:szCs w:val="20"/>
        </w:rPr>
        <w:t xml:space="preserve">ve our study is valuable because it </w:t>
      </w:r>
      <w:r w:rsidR="00177696" w:rsidRPr="00B706EA">
        <w:rPr>
          <w:rFonts w:ascii="Times New Roman" w:eastAsia="Times New Roman" w:hAnsi="Times New Roman" w:cs="Times New Roman"/>
          <w:sz w:val="20"/>
          <w:szCs w:val="20"/>
        </w:rPr>
        <w:t>provide</w:t>
      </w:r>
      <w:r>
        <w:rPr>
          <w:rFonts w:ascii="Times New Roman" w:eastAsia="Times New Roman" w:hAnsi="Times New Roman" w:cs="Times New Roman"/>
          <w:sz w:val="20"/>
          <w:szCs w:val="20"/>
        </w:rPr>
        <w:t>s</w:t>
      </w:r>
      <w:r w:rsidR="00177696" w:rsidRPr="00B706EA">
        <w:rPr>
          <w:rFonts w:ascii="Times New Roman" w:eastAsia="Times New Roman" w:hAnsi="Times New Roman" w:cs="Times New Roman"/>
          <w:sz w:val="20"/>
          <w:szCs w:val="20"/>
        </w:rPr>
        <w:t xml:space="preserve"> insights on for-profit entities relating to the possible effects of reclassification of purchases and sales of PPE to operating activities in the Statement of Cash Flows.</w:t>
      </w:r>
      <w:r w:rsidR="00103E4E">
        <w:rPr>
          <w:rFonts w:ascii="Times New Roman" w:eastAsia="Times New Roman" w:hAnsi="Times New Roman" w:cs="Times New Roman"/>
          <w:sz w:val="20"/>
          <w:szCs w:val="20"/>
        </w:rPr>
        <w:t xml:space="preserve"> </w:t>
      </w:r>
    </w:p>
    <w:p w:rsidR="00321031" w:rsidRDefault="00321031" w:rsidP="00321031">
      <w:pPr>
        <w:ind w:firstLine="720"/>
        <w:jc w:val="both"/>
        <w:rPr>
          <w:rFonts w:ascii="Times New Roman" w:eastAsia="Times New Roman" w:hAnsi="Times New Roman" w:cs="Times New Roman"/>
          <w:sz w:val="20"/>
          <w:szCs w:val="20"/>
        </w:rPr>
      </w:pPr>
    </w:p>
    <w:p w:rsidR="00E0091A" w:rsidRPr="00321031" w:rsidRDefault="00177696" w:rsidP="00321031">
      <w:pPr>
        <w:ind w:firstLine="720"/>
        <w:jc w:val="both"/>
        <w:rPr>
          <w:rFonts w:ascii="Times New Roman" w:eastAsia="Times New Roman" w:hAnsi="Times New Roman" w:cs="Times New Roman"/>
          <w:sz w:val="20"/>
          <w:szCs w:val="20"/>
        </w:rPr>
      </w:pPr>
      <w:r w:rsidRPr="00B706EA">
        <w:rPr>
          <w:rFonts w:ascii="Times New Roman" w:eastAsia="Times New Roman" w:hAnsi="Times New Roman" w:cs="Times New Roman"/>
          <w:sz w:val="20"/>
          <w:szCs w:val="20"/>
        </w:rPr>
        <w:t>This study focuses on not-for-profit organizations, charities and hospitals.  Future studies can focus on the impact of the FASB proposal on for-profit organ</w:t>
      </w:r>
      <w:r w:rsidR="002F66A5">
        <w:rPr>
          <w:rFonts w:ascii="Times New Roman" w:eastAsia="Times New Roman" w:hAnsi="Times New Roman" w:cs="Times New Roman"/>
          <w:sz w:val="20"/>
          <w:szCs w:val="20"/>
        </w:rPr>
        <w:t>izations.  Also, only the impact</w:t>
      </w:r>
      <w:r w:rsidRPr="00B706EA">
        <w:rPr>
          <w:rFonts w:ascii="Times New Roman" w:eastAsia="Times New Roman" w:hAnsi="Times New Roman" w:cs="Times New Roman"/>
          <w:sz w:val="20"/>
          <w:szCs w:val="20"/>
        </w:rPr>
        <w:t xml:space="preserve"> of PPE purchases and sales on cash flow from operating activities was studied.  Future</w:t>
      </w:r>
      <w:r w:rsidR="002F66A5">
        <w:rPr>
          <w:rFonts w:ascii="Times New Roman" w:eastAsia="Times New Roman" w:hAnsi="Times New Roman" w:cs="Times New Roman"/>
          <w:sz w:val="20"/>
          <w:szCs w:val="20"/>
        </w:rPr>
        <w:t xml:space="preserve"> studies can analyze the impacts</w:t>
      </w:r>
      <w:r w:rsidRPr="00B706EA">
        <w:rPr>
          <w:rFonts w:ascii="Times New Roman" w:eastAsia="Times New Roman" w:hAnsi="Times New Roman" w:cs="Times New Roman"/>
          <w:sz w:val="20"/>
          <w:szCs w:val="20"/>
        </w:rPr>
        <w:t xml:space="preserve"> of the other </w:t>
      </w:r>
      <w:r w:rsidR="00D118AD">
        <w:rPr>
          <w:rFonts w:ascii="Times New Roman" w:eastAsia="Times New Roman" w:hAnsi="Times New Roman" w:cs="Times New Roman"/>
          <w:sz w:val="20"/>
          <w:szCs w:val="20"/>
        </w:rPr>
        <w:t xml:space="preserve">proposed </w:t>
      </w:r>
      <w:r w:rsidRPr="00B706EA">
        <w:rPr>
          <w:rFonts w:ascii="Times New Roman" w:eastAsia="Times New Roman" w:hAnsi="Times New Roman" w:cs="Times New Roman"/>
          <w:sz w:val="20"/>
          <w:szCs w:val="20"/>
        </w:rPr>
        <w:t>reclassifications on the Statement of Cash Flows</w:t>
      </w:r>
      <w:r w:rsidR="00211601">
        <w:rPr>
          <w:rFonts w:ascii="Times New Roman" w:eastAsia="Times New Roman" w:hAnsi="Times New Roman" w:cs="Times New Roman"/>
          <w:sz w:val="20"/>
          <w:szCs w:val="20"/>
        </w:rPr>
        <w:t>.</w:t>
      </w:r>
    </w:p>
    <w:p w:rsidR="00E0091A" w:rsidRPr="00B706EA" w:rsidRDefault="00E0091A">
      <w:pPr>
        <w:ind w:firstLine="720"/>
        <w:jc w:val="both"/>
        <w:rPr>
          <w:rFonts w:ascii="Times New Roman" w:hAnsi="Times New Roman" w:cs="Times New Roman"/>
          <w:sz w:val="20"/>
          <w:szCs w:val="20"/>
        </w:rPr>
      </w:pPr>
    </w:p>
    <w:p w:rsidR="00E0091A" w:rsidRPr="00B706EA" w:rsidRDefault="00177696">
      <w:pPr>
        <w:jc w:val="center"/>
        <w:rPr>
          <w:rFonts w:ascii="Times New Roman" w:hAnsi="Times New Roman" w:cs="Times New Roman"/>
          <w:sz w:val="20"/>
          <w:szCs w:val="20"/>
        </w:rPr>
      </w:pPr>
      <w:r w:rsidRPr="00B706EA">
        <w:rPr>
          <w:rFonts w:ascii="Times New Roman" w:eastAsia="Times New Roman" w:hAnsi="Times New Roman" w:cs="Times New Roman"/>
          <w:b/>
          <w:sz w:val="20"/>
          <w:szCs w:val="20"/>
        </w:rPr>
        <w:t>REFERENCES</w:t>
      </w:r>
    </w:p>
    <w:p w:rsidR="00E0091A" w:rsidRDefault="00E0091A"/>
    <w:p w:rsidR="00E0091A" w:rsidRDefault="00177696">
      <w:r>
        <w:rPr>
          <w:rFonts w:ascii="Times New Roman" w:eastAsia="Times New Roman" w:hAnsi="Times New Roman" w:cs="Times New Roman"/>
          <w:sz w:val="16"/>
          <w:szCs w:val="16"/>
        </w:rPr>
        <w:t>Alderman, Wayne and Jen</w:t>
      </w:r>
      <w:r w:rsidR="003F6039">
        <w:rPr>
          <w:rFonts w:ascii="Times New Roman" w:eastAsia="Times New Roman" w:hAnsi="Times New Roman" w:cs="Times New Roman"/>
          <w:sz w:val="16"/>
          <w:szCs w:val="16"/>
        </w:rPr>
        <w:t>n</w:t>
      </w:r>
      <w:r w:rsidR="00A5237A">
        <w:rPr>
          <w:rFonts w:ascii="Times New Roman" w:eastAsia="Times New Roman" w:hAnsi="Times New Roman" w:cs="Times New Roman"/>
          <w:sz w:val="16"/>
          <w:szCs w:val="16"/>
        </w:rPr>
        <w:t xml:space="preserve">ifer M. Mueller (2009).  </w:t>
      </w:r>
      <w:r>
        <w:rPr>
          <w:rFonts w:ascii="Times New Roman" w:eastAsia="Times New Roman" w:hAnsi="Times New Roman" w:cs="Times New Roman"/>
          <w:sz w:val="16"/>
          <w:szCs w:val="16"/>
        </w:rPr>
        <w:t>Cash Flow Classification of Restricted Funds.  The CPA Journal.  Av</w:t>
      </w:r>
      <w:r w:rsidR="003F6039">
        <w:rPr>
          <w:rFonts w:ascii="Times New Roman" w:eastAsia="Times New Roman" w:hAnsi="Times New Roman" w:cs="Times New Roman"/>
          <w:sz w:val="16"/>
          <w:szCs w:val="16"/>
        </w:rPr>
        <w:t xml:space="preserve">ailable on </w:t>
      </w:r>
      <w:hyperlink r:id="rId7">
        <w:r>
          <w:rPr>
            <w:rFonts w:ascii="Times New Roman" w:eastAsia="Times New Roman" w:hAnsi="Times New Roman" w:cs="Times New Roman"/>
            <w:color w:val="0000FF"/>
            <w:sz w:val="16"/>
            <w:szCs w:val="16"/>
            <w:u w:val="single"/>
          </w:rPr>
          <w:t>http://www.cpajournal.com/2003/1103/dept/d114603.htm</w:t>
        </w:r>
      </w:hyperlink>
      <w:hyperlink r:id="rId8"/>
    </w:p>
    <w:p w:rsidR="00E0091A" w:rsidRDefault="00177696">
      <w:r>
        <w:rPr>
          <w:rFonts w:ascii="Times New Roman" w:eastAsia="Times New Roman" w:hAnsi="Times New Roman" w:cs="Times New Roman"/>
          <w:sz w:val="16"/>
          <w:szCs w:val="16"/>
        </w:rPr>
        <w:t>Bao, D., &amp; Romeo, G. C. (2012). Convergence to International Financial Reporting for the Statement of Cash Flows: "Where Got, Where Going".</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America Business Research, </w:t>
      </w:r>
      <w:r>
        <w:rPr>
          <w:rFonts w:ascii="Times New Roman" w:eastAsia="Times New Roman" w:hAnsi="Times New Roman" w:cs="Times New Roman"/>
          <w:i/>
          <w:sz w:val="16"/>
          <w:szCs w:val="16"/>
        </w:rPr>
        <w:t>5</w:t>
      </w:r>
      <w:r>
        <w:rPr>
          <w:rFonts w:ascii="Times New Roman" w:eastAsia="Times New Roman" w:hAnsi="Times New Roman" w:cs="Times New Roman"/>
          <w:sz w:val="16"/>
          <w:szCs w:val="16"/>
        </w:rPr>
        <w:t xml:space="preserve">(1), 23-36. </w:t>
      </w:r>
    </w:p>
    <w:p w:rsidR="00E0091A" w:rsidRDefault="003F6039">
      <w:r>
        <w:rPr>
          <w:rFonts w:ascii="Times New Roman" w:eastAsia="Times New Roman" w:hAnsi="Times New Roman" w:cs="Times New Roman"/>
          <w:sz w:val="16"/>
          <w:szCs w:val="16"/>
        </w:rPr>
        <w:t>Barrett, Willia</w:t>
      </w:r>
      <w:r w:rsidR="00177696">
        <w:rPr>
          <w:rFonts w:ascii="Times New Roman" w:eastAsia="Times New Roman" w:hAnsi="Times New Roman" w:cs="Times New Roman"/>
          <w:sz w:val="16"/>
          <w:szCs w:val="16"/>
        </w:rPr>
        <w:t xml:space="preserve">m P 2014).  The 50 Largest U.S. Charities. Available </w:t>
      </w:r>
      <w:proofErr w:type="gramStart"/>
      <w:r w:rsidR="00177696">
        <w:rPr>
          <w:rFonts w:ascii="Times New Roman" w:eastAsia="Times New Roman" w:hAnsi="Times New Roman" w:cs="Times New Roman"/>
          <w:sz w:val="16"/>
          <w:szCs w:val="16"/>
        </w:rPr>
        <w:t xml:space="preserve">on  </w:t>
      </w:r>
      <w:proofErr w:type="gramEnd"/>
      <w:r w:rsidR="008B77CC">
        <w:fldChar w:fldCharType="begin"/>
      </w:r>
      <w:r w:rsidR="00267B98">
        <w:instrText xml:space="preserve"> HYPERLINK "http://www.forbes.com/top-charities/" \h </w:instrText>
      </w:r>
      <w:r w:rsidR="008B77CC">
        <w:fldChar w:fldCharType="separate"/>
      </w:r>
      <w:r w:rsidR="00177696">
        <w:rPr>
          <w:rFonts w:ascii="Times New Roman" w:eastAsia="Times New Roman" w:hAnsi="Times New Roman" w:cs="Times New Roman"/>
          <w:color w:val="0000FF"/>
          <w:sz w:val="16"/>
          <w:szCs w:val="16"/>
          <w:u w:val="single"/>
        </w:rPr>
        <w:t>http://www.forbes.com/top-charities/</w:t>
      </w:r>
      <w:r w:rsidR="008B77CC">
        <w:rPr>
          <w:rFonts w:ascii="Times New Roman" w:eastAsia="Times New Roman" w:hAnsi="Times New Roman" w:cs="Times New Roman"/>
          <w:color w:val="0000FF"/>
          <w:sz w:val="16"/>
          <w:szCs w:val="16"/>
          <w:u w:val="single"/>
        </w:rPr>
        <w:fldChar w:fldCharType="end"/>
      </w:r>
      <w:hyperlink r:id="rId9"/>
    </w:p>
    <w:p w:rsidR="00E0091A" w:rsidRDefault="00177696">
      <w:r>
        <w:rPr>
          <w:rFonts w:ascii="Times New Roman" w:eastAsia="Times New Roman" w:hAnsi="Times New Roman" w:cs="Times New Roman"/>
          <w:sz w:val="16"/>
          <w:szCs w:val="16"/>
        </w:rPr>
        <w:t xml:space="preserve">BDO (2014).   IFRS in Practice, IAS 7 Statement of Cash Flows. Available on </w:t>
      </w:r>
      <w:hyperlink r:id="rId10">
        <w:r>
          <w:rPr>
            <w:rFonts w:ascii="Times New Roman" w:eastAsia="Times New Roman" w:hAnsi="Times New Roman" w:cs="Times New Roman"/>
            <w:color w:val="0000FF"/>
            <w:sz w:val="16"/>
            <w:szCs w:val="16"/>
            <w:u w:val="single"/>
          </w:rPr>
          <w:t>http://www.bdointernational.com/Services/Audit/IFRS/IFRS%20in%20Practice/Documents/IFRS_IAS7_print.pdf</w:t>
        </w:r>
      </w:hyperlink>
      <w:hyperlink r:id="rId11"/>
    </w:p>
    <w:p w:rsidR="00E0091A" w:rsidRDefault="00177696">
      <w:r>
        <w:rPr>
          <w:rFonts w:ascii="Times New Roman" w:eastAsia="Times New Roman" w:hAnsi="Times New Roman" w:cs="Times New Roman"/>
          <w:sz w:val="16"/>
          <w:szCs w:val="16"/>
        </w:rPr>
        <w:t xml:space="preserve">Bramwell, Jason (2015).  FASB Proposes Major Changes to Not-for-Profit Reporting Rules.  Available on http:// </w:t>
      </w:r>
      <w:hyperlink r:id="rId12">
        <w:r>
          <w:rPr>
            <w:rFonts w:ascii="Times New Roman" w:eastAsia="Times New Roman" w:hAnsi="Times New Roman" w:cs="Times New Roman"/>
            <w:color w:val="0000FF"/>
            <w:sz w:val="16"/>
            <w:szCs w:val="16"/>
            <w:u w:val="single"/>
          </w:rPr>
          <w:t>www.accountingweb.com</w:t>
        </w:r>
      </w:hyperlink>
      <w:r>
        <w:rPr>
          <w:rFonts w:ascii="Times New Roman" w:eastAsia="Times New Roman" w:hAnsi="Times New Roman" w:cs="Times New Roman"/>
          <w:sz w:val="16"/>
          <w:szCs w:val="16"/>
        </w:rPr>
        <w:t>.</w:t>
      </w:r>
    </w:p>
    <w:p w:rsidR="00E0091A" w:rsidRDefault="00177696">
      <w:r>
        <w:rPr>
          <w:rFonts w:ascii="Times New Roman" w:eastAsia="Times New Roman" w:hAnsi="Times New Roman" w:cs="Times New Roman"/>
          <w:sz w:val="16"/>
          <w:szCs w:val="16"/>
        </w:rPr>
        <w:t>Financial Accounting Standards Board (1987). Statement of Financial Accounting Standards No. 95, Statement of Cash Flows.  Norwalk, CT:  FASB.</w:t>
      </w:r>
    </w:p>
    <w:p w:rsidR="00E0091A" w:rsidRDefault="00177696">
      <w:r>
        <w:rPr>
          <w:rFonts w:ascii="Times New Roman" w:eastAsia="Times New Roman" w:hAnsi="Times New Roman" w:cs="Times New Roman"/>
          <w:sz w:val="16"/>
          <w:szCs w:val="16"/>
        </w:rPr>
        <w:t>Financial Accounting Standards Board (1993). Statement of Financial Accounting Standards No. 117, Financial Statements for Not-for-Profit Organizations.  Norwalk, CT:  FASB.</w:t>
      </w:r>
    </w:p>
    <w:p w:rsidR="00E0091A" w:rsidRDefault="00177696">
      <w:r>
        <w:rPr>
          <w:rFonts w:ascii="Times New Roman" w:eastAsia="Times New Roman" w:hAnsi="Times New Roman" w:cs="Times New Roman"/>
          <w:sz w:val="16"/>
          <w:szCs w:val="16"/>
        </w:rPr>
        <w:t xml:space="preserve">Financial Accounting Standards Board (2015).  Proposed Accounting Standards Update, Not-for-Profit Entities (Topic 958) and Health Care Entities (Topic 954), Presentation of Financial Statement of Not-for-Profit Entities.  Available on </w:t>
      </w:r>
      <w:hyperlink r:id="rId13">
        <w:r>
          <w:rPr>
            <w:rFonts w:ascii="Times New Roman" w:eastAsia="Times New Roman" w:hAnsi="Times New Roman" w:cs="Times New Roman"/>
            <w:color w:val="0000FF"/>
            <w:sz w:val="16"/>
            <w:szCs w:val="16"/>
            <w:u w:val="single"/>
          </w:rPr>
          <w:t>http://www.fasb.org/cs/ContentServer?c=Document_C&amp;pagename=FASB%2FDocument_C%2FDocumentPage&amp;cid=1176165948999</w:t>
        </w:r>
      </w:hyperlink>
      <w:hyperlink r:id="rId14"/>
    </w:p>
    <w:p w:rsidR="00E0091A" w:rsidRDefault="00177696">
      <w:r>
        <w:rPr>
          <w:rFonts w:ascii="Times New Roman" w:eastAsia="Times New Roman" w:hAnsi="Times New Roman" w:cs="Times New Roman"/>
          <w:sz w:val="16"/>
          <w:szCs w:val="16"/>
        </w:rPr>
        <w:t xml:space="preserve">Gamble, Molly (2014).  50 Largest Nonprofit Hospitals in American.  Available on </w:t>
      </w:r>
      <w:hyperlink r:id="rId15">
        <w:r>
          <w:rPr>
            <w:rFonts w:ascii="Times New Roman" w:eastAsia="Times New Roman" w:hAnsi="Times New Roman" w:cs="Times New Roman"/>
            <w:color w:val="0000FF"/>
            <w:sz w:val="16"/>
            <w:szCs w:val="16"/>
            <w:u w:val="single"/>
          </w:rPr>
          <w:t>http://www.beckershospitalreview.com/lists/50-largest-nonprofit-hospitals-in-america-2014.html</w:t>
        </w:r>
      </w:hyperlink>
      <w:hyperlink r:id="rId16"/>
    </w:p>
    <w:p w:rsidR="00E0091A" w:rsidRDefault="00177696">
      <w:r>
        <w:rPr>
          <w:rFonts w:ascii="Times New Roman" w:eastAsia="Times New Roman" w:hAnsi="Times New Roman" w:cs="Times New Roman"/>
          <w:sz w:val="16"/>
          <w:szCs w:val="16"/>
        </w:rPr>
        <w:t>Health, Loyd C. (1978). Financial Reporting and the Evaluation of Solvency. Accounting Research Monograph No. 3. New York:  AICPA.</w:t>
      </w:r>
    </w:p>
    <w:p w:rsidR="00E0091A" w:rsidRDefault="00177696">
      <w:r>
        <w:rPr>
          <w:rFonts w:ascii="Times New Roman" w:eastAsia="Times New Roman" w:hAnsi="Times New Roman" w:cs="Times New Roman"/>
          <w:sz w:val="16"/>
          <w:szCs w:val="16"/>
        </w:rPr>
        <w:t>Nurnberg, Hugo (2009).  Perspectives on the Cash Flow Statement Under FASB No. 95.  Center for Excellence in Accounting and Security Analysis.  New York:  Columbia Business School.</w:t>
      </w:r>
    </w:p>
    <w:p w:rsidR="00E0091A" w:rsidRDefault="00177696">
      <w:r>
        <w:rPr>
          <w:rFonts w:ascii="Times New Roman" w:eastAsia="Times New Roman" w:hAnsi="Times New Roman" w:cs="Times New Roman"/>
          <w:sz w:val="16"/>
          <w:szCs w:val="16"/>
        </w:rPr>
        <w:t xml:space="preserve">Sherlock, Molly F. and Jane G. Gravelle (2009).  An Overview of the Nonprofit and Charitable Sector”, CRS Report for Congress.  Available </w:t>
      </w:r>
      <w:proofErr w:type="gramStart"/>
      <w:r>
        <w:rPr>
          <w:rFonts w:ascii="Times New Roman" w:eastAsia="Times New Roman" w:hAnsi="Times New Roman" w:cs="Times New Roman"/>
          <w:sz w:val="16"/>
          <w:szCs w:val="16"/>
        </w:rPr>
        <w:t xml:space="preserve">on   </w:t>
      </w:r>
      <w:proofErr w:type="gramEnd"/>
      <w:hyperlink r:id="rId17">
        <w:r>
          <w:rPr>
            <w:rFonts w:ascii="Times New Roman" w:eastAsia="Times New Roman" w:hAnsi="Times New Roman" w:cs="Times New Roman"/>
            <w:color w:val="0000FF"/>
            <w:sz w:val="16"/>
            <w:szCs w:val="16"/>
            <w:u w:val="single"/>
          </w:rPr>
          <w:t>https://www.fas.org/sgp/crs/misc/R40919.pdf</w:t>
        </w:r>
      </w:hyperlink>
      <w:hyperlink r:id="rId18"/>
    </w:p>
    <w:p w:rsidR="00E0091A" w:rsidRDefault="00177696">
      <w:r>
        <w:rPr>
          <w:rFonts w:ascii="Times New Roman" w:eastAsia="Times New Roman" w:hAnsi="Times New Roman" w:cs="Times New Roman"/>
          <w:sz w:val="16"/>
          <w:szCs w:val="16"/>
        </w:rPr>
        <w:t>Wampler, B., Smolinski, H. and Vines, T. (2009). Making stronger statements: cash flow and income, Strategic Finance, 91(4), 43-49.</w:t>
      </w:r>
    </w:p>
    <w:p w:rsidR="00E0091A" w:rsidRDefault="00177696">
      <w:r>
        <w:rPr>
          <w:rFonts w:ascii="Times New Roman" w:eastAsia="Times New Roman" w:hAnsi="Times New Roman" w:cs="Times New Roman"/>
          <w:sz w:val="16"/>
          <w:szCs w:val="16"/>
        </w:rPr>
        <w:t xml:space="preserve">Whitehouse, Tammy (2015)  FASB Proposal May Foreshadow Changes to Cash Flow Rules.  Available on </w:t>
      </w:r>
      <w:hyperlink r:id="rId19">
        <w:r>
          <w:rPr>
            <w:rFonts w:ascii="Times New Roman" w:eastAsia="Times New Roman" w:hAnsi="Times New Roman" w:cs="Times New Roman"/>
            <w:color w:val="0000FF"/>
            <w:sz w:val="16"/>
            <w:szCs w:val="16"/>
            <w:u w:val="single"/>
          </w:rPr>
          <w:t>http://www.complianceweek.com/blogs/accounting-auditing-update</w:t>
        </w:r>
      </w:hyperlink>
      <w:r>
        <w:rPr>
          <w:rFonts w:ascii="Times New Roman" w:eastAsia="Times New Roman" w:hAnsi="Times New Roman" w:cs="Times New Roman"/>
          <w:sz w:val="16"/>
          <w:szCs w:val="16"/>
        </w:rPr>
        <w:t xml:space="preserve">, </w:t>
      </w:r>
    </w:p>
    <w:p w:rsidR="00E0091A" w:rsidRDefault="00E0091A"/>
    <w:sectPr w:rsidR="00E0091A" w:rsidSect="00DD78E3">
      <w:headerReference w:type="default" r:id="rId20"/>
      <w:footerReference w:type="defaul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2A" w:rsidRDefault="00C46E2A">
      <w:r>
        <w:separator/>
      </w:r>
    </w:p>
  </w:endnote>
  <w:endnote w:type="continuationSeparator" w:id="0">
    <w:p w:rsidR="00C46E2A" w:rsidRDefault="00C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38713"/>
      <w:docPartObj>
        <w:docPartGallery w:val="Page Numbers (Bottom of Page)"/>
        <w:docPartUnique/>
      </w:docPartObj>
    </w:sdtPr>
    <w:sdtEndPr>
      <w:rPr>
        <w:noProof/>
      </w:rPr>
    </w:sdtEndPr>
    <w:sdtContent>
      <w:p w:rsidR="00C46E2A" w:rsidRDefault="00C46E2A">
        <w:pPr>
          <w:pStyle w:val="Footer"/>
          <w:jc w:val="center"/>
        </w:pPr>
        <w:r>
          <w:fldChar w:fldCharType="begin"/>
        </w:r>
        <w:r>
          <w:instrText xml:space="preserve"> PAGE   \* MERGEFORMAT </w:instrText>
        </w:r>
        <w:r>
          <w:fldChar w:fldCharType="separate"/>
        </w:r>
        <w:r w:rsidR="00236489">
          <w:rPr>
            <w:noProof/>
          </w:rPr>
          <w:t>4</w:t>
        </w:r>
        <w:r>
          <w:rPr>
            <w:noProof/>
          </w:rPr>
          <w:fldChar w:fldCharType="end"/>
        </w:r>
      </w:p>
    </w:sdtContent>
  </w:sdt>
  <w:p w:rsidR="00C46E2A" w:rsidRDefault="00C46E2A">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2A" w:rsidRDefault="00C46E2A">
      <w:r>
        <w:separator/>
      </w:r>
    </w:p>
  </w:footnote>
  <w:footnote w:type="continuationSeparator" w:id="0">
    <w:p w:rsidR="00C46E2A" w:rsidRDefault="00C46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2A" w:rsidRDefault="00C46E2A">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1A"/>
    <w:rsid w:val="0003047D"/>
    <w:rsid w:val="00087769"/>
    <w:rsid w:val="000D2766"/>
    <w:rsid w:val="000D4A52"/>
    <w:rsid w:val="000E20E7"/>
    <w:rsid w:val="000E4548"/>
    <w:rsid w:val="00103E4E"/>
    <w:rsid w:val="001530A7"/>
    <w:rsid w:val="001711EF"/>
    <w:rsid w:val="00177696"/>
    <w:rsid w:val="001D591C"/>
    <w:rsid w:val="00211601"/>
    <w:rsid w:val="00232719"/>
    <w:rsid w:val="00236489"/>
    <w:rsid w:val="00267B98"/>
    <w:rsid w:val="002A4E3A"/>
    <w:rsid w:val="002F66A5"/>
    <w:rsid w:val="00305001"/>
    <w:rsid w:val="00321031"/>
    <w:rsid w:val="003355AB"/>
    <w:rsid w:val="003F6039"/>
    <w:rsid w:val="004230D1"/>
    <w:rsid w:val="004A1579"/>
    <w:rsid w:val="00577068"/>
    <w:rsid w:val="0058678E"/>
    <w:rsid w:val="005B050E"/>
    <w:rsid w:val="00613ED7"/>
    <w:rsid w:val="00650659"/>
    <w:rsid w:val="00686999"/>
    <w:rsid w:val="006F093B"/>
    <w:rsid w:val="0071111A"/>
    <w:rsid w:val="007B0684"/>
    <w:rsid w:val="007E195F"/>
    <w:rsid w:val="008440EA"/>
    <w:rsid w:val="00852B61"/>
    <w:rsid w:val="00867DEB"/>
    <w:rsid w:val="00884E3A"/>
    <w:rsid w:val="008B77CC"/>
    <w:rsid w:val="008C22AD"/>
    <w:rsid w:val="008E0166"/>
    <w:rsid w:val="009341C0"/>
    <w:rsid w:val="0097446B"/>
    <w:rsid w:val="00A30117"/>
    <w:rsid w:val="00A5237A"/>
    <w:rsid w:val="00A54637"/>
    <w:rsid w:val="00A75C40"/>
    <w:rsid w:val="00AA0AF9"/>
    <w:rsid w:val="00AF1097"/>
    <w:rsid w:val="00B2557B"/>
    <w:rsid w:val="00B27A24"/>
    <w:rsid w:val="00B706EA"/>
    <w:rsid w:val="00B87DD4"/>
    <w:rsid w:val="00BA519F"/>
    <w:rsid w:val="00BD55CB"/>
    <w:rsid w:val="00BE2FDD"/>
    <w:rsid w:val="00BE4668"/>
    <w:rsid w:val="00BE7F16"/>
    <w:rsid w:val="00C04DEE"/>
    <w:rsid w:val="00C279E7"/>
    <w:rsid w:val="00C46E2A"/>
    <w:rsid w:val="00C61B75"/>
    <w:rsid w:val="00C774A4"/>
    <w:rsid w:val="00CC3316"/>
    <w:rsid w:val="00D06313"/>
    <w:rsid w:val="00D118AD"/>
    <w:rsid w:val="00D15D34"/>
    <w:rsid w:val="00D36528"/>
    <w:rsid w:val="00DD78E3"/>
    <w:rsid w:val="00E0091A"/>
    <w:rsid w:val="00E2011A"/>
    <w:rsid w:val="00E56C39"/>
    <w:rsid w:val="00EA0067"/>
    <w:rsid w:val="00F60272"/>
    <w:rsid w:val="00F753FD"/>
    <w:rsid w:val="00F75EFC"/>
    <w:rsid w:val="00FB18E1"/>
    <w:rsid w:val="00FB65A4"/>
    <w:rsid w:val="00FD3738"/>
    <w:rsid w:val="00FF191C"/>
    <w:rsid w:val="00FF6D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2719"/>
  </w:style>
  <w:style w:type="paragraph" w:styleId="Heading1">
    <w:name w:val="heading 1"/>
    <w:basedOn w:val="Normal"/>
    <w:next w:val="Normal"/>
    <w:rsid w:val="00232719"/>
    <w:pPr>
      <w:keepNext/>
      <w:keepLines/>
      <w:spacing w:before="480" w:after="120"/>
      <w:contextualSpacing/>
      <w:outlineLvl w:val="0"/>
    </w:pPr>
    <w:rPr>
      <w:b/>
      <w:sz w:val="48"/>
      <w:szCs w:val="48"/>
    </w:rPr>
  </w:style>
  <w:style w:type="paragraph" w:styleId="Heading2">
    <w:name w:val="heading 2"/>
    <w:basedOn w:val="Normal"/>
    <w:next w:val="Normal"/>
    <w:rsid w:val="00232719"/>
    <w:pPr>
      <w:keepNext/>
      <w:keepLines/>
      <w:spacing w:before="360" w:after="80"/>
      <w:contextualSpacing/>
      <w:outlineLvl w:val="1"/>
    </w:pPr>
    <w:rPr>
      <w:b/>
      <w:sz w:val="36"/>
      <w:szCs w:val="36"/>
    </w:rPr>
  </w:style>
  <w:style w:type="paragraph" w:styleId="Heading3">
    <w:name w:val="heading 3"/>
    <w:basedOn w:val="Normal"/>
    <w:next w:val="Normal"/>
    <w:rsid w:val="00232719"/>
    <w:pPr>
      <w:keepNext/>
      <w:keepLines/>
      <w:spacing w:before="280" w:after="80"/>
      <w:contextualSpacing/>
      <w:outlineLvl w:val="2"/>
    </w:pPr>
    <w:rPr>
      <w:b/>
      <w:sz w:val="28"/>
      <w:szCs w:val="28"/>
    </w:rPr>
  </w:style>
  <w:style w:type="paragraph" w:styleId="Heading4">
    <w:name w:val="heading 4"/>
    <w:basedOn w:val="Normal"/>
    <w:next w:val="Normal"/>
    <w:rsid w:val="00232719"/>
    <w:pPr>
      <w:keepNext/>
      <w:keepLines/>
      <w:spacing w:before="240" w:after="40"/>
      <w:contextualSpacing/>
      <w:outlineLvl w:val="3"/>
    </w:pPr>
    <w:rPr>
      <w:b/>
    </w:rPr>
  </w:style>
  <w:style w:type="paragraph" w:styleId="Heading5">
    <w:name w:val="heading 5"/>
    <w:basedOn w:val="Normal"/>
    <w:next w:val="Normal"/>
    <w:rsid w:val="00232719"/>
    <w:pPr>
      <w:keepNext/>
      <w:keepLines/>
      <w:spacing w:before="220" w:after="40"/>
      <w:contextualSpacing/>
      <w:outlineLvl w:val="4"/>
    </w:pPr>
    <w:rPr>
      <w:b/>
      <w:sz w:val="22"/>
      <w:szCs w:val="22"/>
    </w:rPr>
  </w:style>
  <w:style w:type="paragraph" w:styleId="Heading6">
    <w:name w:val="heading 6"/>
    <w:basedOn w:val="Normal"/>
    <w:next w:val="Normal"/>
    <w:rsid w:val="0023271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2719"/>
    <w:pPr>
      <w:keepNext/>
      <w:keepLines/>
      <w:spacing w:before="480" w:after="120"/>
      <w:contextualSpacing/>
    </w:pPr>
    <w:rPr>
      <w:b/>
      <w:sz w:val="72"/>
      <w:szCs w:val="72"/>
    </w:rPr>
  </w:style>
  <w:style w:type="paragraph" w:styleId="Subtitle">
    <w:name w:val="Subtitle"/>
    <w:basedOn w:val="Normal"/>
    <w:next w:val="Normal"/>
    <w:rsid w:val="00232719"/>
    <w:pPr>
      <w:keepNext/>
      <w:keepLines/>
      <w:spacing w:before="360" w:after="80"/>
      <w:contextualSpacing/>
    </w:pPr>
    <w:rPr>
      <w:rFonts w:ascii="Georgia" w:eastAsia="Georgia" w:hAnsi="Georgia" w:cs="Georgia"/>
      <w:i/>
      <w:color w:val="666666"/>
      <w:sz w:val="48"/>
      <w:szCs w:val="48"/>
    </w:rPr>
  </w:style>
  <w:style w:type="table" w:customStyle="1" w:styleId="11">
    <w:name w:val="11"/>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06EA"/>
    <w:pPr>
      <w:tabs>
        <w:tab w:val="center" w:pos="4680"/>
        <w:tab w:val="right" w:pos="9360"/>
      </w:tabs>
    </w:pPr>
  </w:style>
  <w:style w:type="character" w:customStyle="1" w:styleId="HeaderChar">
    <w:name w:val="Header Char"/>
    <w:basedOn w:val="DefaultParagraphFont"/>
    <w:link w:val="Header"/>
    <w:uiPriority w:val="99"/>
    <w:rsid w:val="00B706EA"/>
  </w:style>
  <w:style w:type="paragraph" w:styleId="Footer">
    <w:name w:val="footer"/>
    <w:basedOn w:val="Normal"/>
    <w:link w:val="FooterChar"/>
    <w:uiPriority w:val="99"/>
    <w:unhideWhenUsed/>
    <w:rsid w:val="00B706EA"/>
    <w:pPr>
      <w:tabs>
        <w:tab w:val="center" w:pos="4680"/>
        <w:tab w:val="right" w:pos="9360"/>
      </w:tabs>
    </w:pPr>
  </w:style>
  <w:style w:type="character" w:customStyle="1" w:styleId="FooterChar">
    <w:name w:val="Footer Char"/>
    <w:basedOn w:val="DefaultParagraphFont"/>
    <w:link w:val="Footer"/>
    <w:uiPriority w:val="99"/>
    <w:rsid w:val="00B706EA"/>
  </w:style>
  <w:style w:type="paragraph" w:styleId="BalloonText">
    <w:name w:val="Balloon Text"/>
    <w:basedOn w:val="Normal"/>
    <w:link w:val="BalloonTextChar"/>
    <w:uiPriority w:val="99"/>
    <w:semiHidden/>
    <w:unhideWhenUsed/>
    <w:rsid w:val="00C27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9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2719"/>
  </w:style>
  <w:style w:type="paragraph" w:styleId="Heading1">
    <w:name w:val="heading 1"/>
    <w:basedOn w:val="Normal"/>
    <w:next w:val="Normal"/>
    <w:rsid w:val="00232719"/>
    <w:pPr>
      <w:keepNext/>
      <w:keepLines/>
      <w:spacing w:before="480" w:after="120"/>
      <w:contextualSpacing/>
      <w:outlineLvl w:val="0"/>
    </w:pPr>
    <w:rPr>
      <w:b/>
      <w:sz w:val="48"/>
      <w:szCs w:val="48"/>
    </w:rPr>
  </w:style>
  <w:style w:type="paragraph" w:styleId="Heading2">
    <w:name w:val="heading 2"/>
    <w:basedOn w:val="Normal"/>
    <w:next w:val="Normal"/>
    <w:rsid w:val="00232719"/>
    <w:pPr>
      <w:keepNext/>
      <w:keepLines/>
      <w:spacing w:before="360" w:after="80"/>
      <w:contextualSpacing/>
      <w:outlineLvl w:val="1"/>
    </w:pPr>
    <w:rPr>
      <w:b/>
      <w:sz w:val="36"/>
      <w:szCs w:val="36"/>
    </w:rPr>
  </w:style>
  <w:style w:type="paragraph" w:styleId="Heading3">
    <w:name w:val="heading 3"/>
    <w:basedOn w:val="Normal"/>
    <w:next w:val="Normal"/>
    <w:rsid w:val="00232719"/>
    <w:pPr>
      <w:keepNext/>
      <w:keepLines/>
      <w:spacing w:before="280" w:after="80"/>
      <w:contextualSpacing/>
      <w:outlineLvl w:val="2"/>
    </w:pPr>
    <w:rPr>
      <w:b/>
      <w:sz w:val="28"/>
      <w:szCs w:val="28"/>
    </w:rPr>
  </w:style>
  <w:style w:type="paragraph" w:styleId="Heading4">
    <w:name w:val="heading 4"/>
    <w:basedOn w:val="Normal"/>
    <w:next w:val="Normal"/>
    <w:rsid w:val="00232719"/>
    <w:pPr>
      <w:keepNext/>
      <w:keepLines/>
      <w:spacing w:before="240" w:after="40"/>
      <w:contextualSpacing/>
      <w:outlineLvl w:val="3"/>
    </w:pPr>
    <w:rPr>
      <w:b/>
    </w:rPr>
  </w:style>
  <w:style w:type="paragraph" w:styleId="Heading5">
    <w:name w:val="heading 5"/>
    <w:basedOn w:val="Normal"/>
    <w:next w:val="Normal"/>
    <w:rsid w:val="00232719"/>
    <w:pPr>
      <w:keepNext/>
      <w:keepLines/>
      <w:spacing w:before="220" w:after="40"/>
      <w:contextualSpacing/>
      <w:outlineLvl w:val="4"/>
    </w:pPr>
    <w:rPr>
      <w:b/>
      <w:sz w:val="22"/>
      <w:szCs w:val="22"/>
    </w:rPr>
  </w:style>
  <w:style w:type="paragraph" w:styleId="Heading6">
    <w:name w:val="heading 6"/>
    <w:basedOn w:val="Normal"/>
    <w:next w:val="Normal"/>
    <w:rsid w:val="0023271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2719"/>
    <w:pPr>
      <w:keepNext/>
      <w:keepLines/>
      <w:spacing w:before="480" w:after="120"/>
      <w:contextualSpacing/>
    </w:pPr>
    <w:rPr>
      <w:b/>
      <w:sz w:val="72"/>
      <w:szCs w:val="72"/>
    </w:rPr>
  </w:style>
  <w:style w:type="paragraph" w:styleId="Subtitle">
    <w:name w:val="Subtitle"/>
    <w:basedOn w:val="Normal"/>
    <w:next w:val="Normal"/>
    <w:rsid w:val="00232719"/>
    <w:pPr>
      <w:keepNext/>
      <w:keepLines/>
      <w:spacing w:before="360" w:after="80"/>
      <w:contextualSpacing/>
    </w:pPr>
    <w:rPr>
      <w:rFonts w:ascii="Georgia" w:eastAsia="Georgia" w:hAnsi="Georgia" w:cs="Georgia"/>
      <w:i/>
      <w:color w:val="666666"/>
      <w:sz w:val="48"/>
      <w:szCs w:val="48"/>
    </w:rPr>
  </w:style>
  <w:style w:type="table" w:customStyle="1" w:styleId="11">
    <w:name w:val="11"/>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232719"/>
    <w:pPr>
      <w:contextualSpacing/>
    </w:pPr>
    <w:rPr>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706EA"/>
    <w:pPr>
      <w:tabs>
        <w:tab w:val="center" w:pos="4680"/>
        <w:tab w:val="right" w:pos="9360"/>
      </w:tabs>
    </w:pPr>
  </w:style>
  <w:style w:type="character" w:customStyle="1" w:styleId="HeaderChar">
    <w:name w:val="Header Char"/>
    <w:basedOn w:val="DefaultParagraphFont"/>
    <w:link w:val="Header"/>
    <w:uiPriority w:val="99"/>
    <w:rsid w:val="00B706EA"/>
  </w:style>
  <w:style w:type="paragraph" w:styleId="Footer">
    <w:name w:val="footer"/>
    <w:basedOn w:val="Normal"/>
    <w:link w:val="FooterChar"/>
    <w:uiPriority w:val="99"/>
    <w:unhideWhenUsed/>
    <w:rsid w:val="00B706EA"/>
    <w:pPr>
      <w:tabs>
        <w:tab w:val="center" w:pos="4680"/>
        <w:tab w:val="right" w:pos="9360"/>
      </w:tabs>
    </w:pPr>
  </w:style>
  <w:style w:type="character" w:customStyle="1" w:styleId="FooterChar">
    <w:name w:val="Footer Char"/>
    <w:basedOn w:val="DefaultParagraphFont"/>
    <w:link w:val="Footer"/>
    <w:uiPriority w:val="99"/>
    <w:rsid w:val="00B706EA"/>
  </w:style>
  <w:style w:type="paragraph" w:styleId="BalloonText">
    <w:name w:val="Balloon Text"/>
    <w:basedOn w:val="Normal"/>
    <w:link w:val="BalloonTextChar"/>
    <w:uiPriority w:val="99"/>
    <w:semiHidden/>
    <w:unhideWhenUsed/>
    <w:rsid w:val="00C27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9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rbes.com/top-charitie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dointernational.com/Services/Audit/IFRS/IFRS%20in%20Practice/Documents/IFRS_IAS7_print.pdf" TargetMode="External"/><Relationship Id="rId11" Type="http://schemas.openxmlformats.org/officeDocument/2006/relationships/hyperlink" Target="http://www.bdointernational.com/Services/Audit/IFRS/IFRS%20in%20Practice/Documents/IFRS_IAS7_print.pdf" TargetMode="External"/><Relationship Id="rId12" Type="http://schemas.openxmlformats.org/officeDocument/2006/relationships/hyperlink" Target="http://www.accountingweb.com" TargetMode="External"/><Relationship Id="rId13" Type="http://schemas.openxmlformats.org/officeDocument/2006/relationships/hyperlink" Target="http://www.fasb.org/cs/ContentServer?c=Document_C&amp;pagename=FASB%2FDocument_C%2FDocumentPage&amp;cid=1176165948999" TargetMode="External"/><Relationship Id="rId14" Type="http://schemas.openxmlformats.org/officeDocument/2006/relationships/hyperlink" Target="http://www.fasb.org/cs/ContentServer?c=Document_C&amp;pagename=FASB%2FDocument_C%2FDocumentPage&amp;cid=1176165948999" TargetMode="External"/><Relationship Id="rId15" Type="http://schemas.openxmlformats.org/officeDocument/2006/relationships/hyperlink" Target="http://www.beckershospitalreview.com/lists/50-largest-nonprofit-hospitals-in-america-2014.html" TargetMode="External"/><Relationship Id="rId16" Type="http://schemas.openxmlformats.org/officeDocument/2006/relationships/hyperlink" Target="http://www.beckershospitalreview.com/lists/50-largest-nonprofit-hospitals-in-america-2014.html" TargetMode="External"/><Relationship Id="rId17" Type="http://schemas.openxmlformats.org/officeDocument/2006/relationships/hyperlink" Target="https://www.fas.org/sgp/crs/misc/R40919.pdf" TargetMode="External"/><Relationship Id="rId18" Type="http://schemas.openxmlformats.org/officeDocument/2006/relationships/hyperlink" Target="https://www.fas.org/sgp/crs/misc/R40919.pdf" TargetMode="External"/><Relationship Id="rId19" Type="http://schemas.openxmlformats.org/officeDocument/2006/relationships/hyperlink" Target="http://www.complianceweek.com/blogs/accounting-auditing-upda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pajournal.com/2003/1103/dept/d114603.htm" TargetMode="External"/><Relationship Id="rId8" Type="http://schemas.openxmlformats.org/officeDocument/2006/relationships/hyperlink" Target="http://www.cpajournal.com/2003/1103/dept/d1146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5006</Words>
  <Characters>28538</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Office PC</dc:creator>
  <cp:keywords/>
  <dc:description/>
  <cp:lastModifiedBy>ROBERTA  CABLE</cp:lastModifiedBy>
  <cp:revision>2</cp:revision>
  <dcterms:created xsi:type="dcterms:W3CDTF">2015-12-12T19:57:00Z</dcterms:created>
  <dcterms:modified xsi:type="dcterms:W3CDTF">2015-12-12T19:57:00Z</dcterms:modified>
</cp:coreProperties>
</file>