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0D" w:rsidRPr="00F26D40" w:rsidRDefault="0019750D" w:rsidP="00F60092">
      <w:pPr>
        <w:spacing w:after="0" w:line="240" w:lineRule="auto"/>
        <w:jc w:val="center"/>
        <w:rPr>
          <w:rFonts w:ascii="Times New Roman" w:hAnsi="Times New Roman" w:cstheme="minorHAnsi"/>
          <w:b/>
          <w:sz w:val="32"/>
          <w:szCs w:val="32"/>
        </w:rPr>
      </w:pPr>
      <w:r w:rsidRPr="00F26D40">
        <w:rPr>
          <w:rFonts w:ascii="Times New Roman" w:hAnsi="Times New Roman" w:cstheme="minorHAnsi"/>
          <w:b/>
          <w:sz w:val="32"/>
          <w:szCs w:val="32"/>
        </w:rPr>
        <w:t>Financial Re</w:t>
      </w:r>
      <w:r w:rsidR="00020D5C" w:rsidRPr="00F26D40">
        <w:rPr>
          <w:rFonts w:ascii="Times New Roman" w:hAnsi="Times New Roman" w:cstheme="minorHAnsi"/>
          <w:b/>
          <w:sz w:val="32"/>
          <w:szCs w:val="32"/>
        </w:rPr>
        <w:t>porting of Other Postemployment</w:t>
      </w:r>
      <w:r w:rsidR="00F9545B" w:rsidRPr="00F26D40">
        <w:rPr>
          <w:rFonts w:ascii="Times New Roman" w:hAnsi="Times New Roman" w:cstheme="minorHAnsi"/>
          <w:b/>
          <w:sz w:val="32"/>
          <w:szCs w:val="32"/>
        </w:rPr>
        <w:t xml:space="preserve"> Benefits—T</w:t>
      </w:r>
      <w:r w:rsidRPr="00F26D40">
        <w:rPr>
          <w:rFonts w:ascii="Times New Roman" w:hAnsi="Times New Roman" w:cstheme="minorHAnsi"/>
          <w:b/>
          <w:sz w:val="32"/>
          <w:szCs w:val="32"/>
        </w:rPr>
        <w:t>owards More Transparency</w:t>
      </w:r>
    </w:p>
    <w:p w:rsidR="00DC5875" w:rsidRPr="0019750D" w:rsidRDefault="00DC5875" w:rsidP="00B95361">
      <w:pPr>
        <w:spacing w:after="0" w:line="240" w:lineRule="auto"/>
        <w:jc w:val="center"/>
        <w:rPr>
          <w:rFonts w:ascii="Times New Roman" w:hAnsi="Times New Roman" w:cstheme="minorHAnsi"/>
          <w:b/>
          <w:sz w:val="20"/>
          <w:szCs w:val="20"/>
        </w:rPr>
      </w:pPr>
    </w:p>
    <w:p w:rsidR="0019750D" w:rsidRPr="00F26D40" w:rsidRDefault="0019750D" w:rsidP="0019750D">
      <w:pPr>
        <w:spacing w:after="0" w:line="240" w:lineRule="auto"/>
        <w:jc w:val="center"/>
        <w:rPr>
          <w:rFonts w:ascii="Times New Roman" w:hAnsi="Times New Roman" w:cstheme="minorHAnsi"/>
          <w:b/>
          <w:sz w:val="20"/>
          <w:szCs w:val="20"/>
        </w:rPr>
      </w:pPr>
      <w:r w:rsidRPr="00F26D40">
        <w:rPr>
          <w:rFonts w:ascii="Times New Roman" w:hAnsi="Times New Roman" w:cstheme="minorHAnsi"/>
          <w:b/>
          <w:sz w:val="20"/>
          <w:szCs w:val="20"/>
        </w:rPr>
        <w:t xml:space="preserve">Dr. Chunyan Li, </w:t>
      </w:r>
      <w:r w:rsidR="00DC5875" w:rsidRPr="00F26D40">
        <w:rPr>
          <w:rFonts w:ascii="Times New Roman" w:hAnsi="Times New Roman" w:cstheme="minorHAnsi"/>
          <w:b/>
          <w:sz w:val="20"/>
          <w:szCs w:val="20"/>
        </w:rPr>
        <w:t xml:space="preserve">Dr. Roberta Cable, </w:t>
      </w:r>
      <w:r w:rsidR="00F60092">
        <w:rPr>
          <w:rFonts w:ascii="Times New Roman" w:hAnsi="Times New Roman" w:cstheme="minorHAnsi"/>
          <w:b/>
          <w:sz w:val="20"/>
          <w:szCs w:val="20"/>
        </w:rPr>
        <w:t xml:space="preserve">and </w:t>
      </w:r>
      <w:r w:rsidR="00DC5875" w:rsidRPr="00F26D40">
        <w:rPr>
          <w:rFonts w:ascii="Times New Roman" w:hAnsi="Times New Roman" w:cstheme="minorHAnsi"/>
          <w:b/>
          <w:sz w:val="20"/>
          <w:szCs w:val="20"/>
        </w:rPr>
        <w:t xml:space="preserve">Patricia Healy, </w:t>
      </w:r>
      <w:r w:rsidRPr="00F26D40">
        <w:rPr>
          <w:rFonts w:ascii="Times New Roman" w:hAnsi="Times New Roman" w:cstheme="minorHAnsi"/>
          <w:b/>
          <w:sz w:val="20"/>
          <w:szCs w:val="20"/>
        </w:rPr>
        <w:t>Pace University</w:t>
      </w:r>
    </w:p>
    <w:p w:rsidR="00B95361" w:rsidRDefault="00B95361" w:rsidP="0019750D">
      <w:pPr>
        <w:spacing w:after="0" w:line="240" w:lineRule="auto"/>
        <w:jc w:val="center"/>
        <w:rPr>
          <w:rFonts w:ascii="Times New Roman" w:hAnsi="Times New Roman" w:cstheme="minorHAnsi"/>
          <w:b/>
          <w:sz w:val="20"/>
          <w:szCs w:val="20"/>
        </w:rPr>
      </w:pPr>
    </w:p>
    <w:p w:rsidR="00F60092" w:rsidRPr="0019750D" w:rsidRDefault="00F60092" w:rsidP="0019750D">
      <w:pPr>
        <w:spacing w:after="0" w:line="240" w:lineRule="auto"/>
        <w:jc w:val="center"/>
        <w:rPr>
          <w:rFonts w:ascii="Times New Roman" w:hAnsi="Times New Roman" w:cstheme="minorHAnsi"/>
          <w:b/>
          <w:sz w:val="20"/>
          <w:szCs w:val="20"/>
        </w:rPr>
      </w:pPr>
    </w:p>
    <w:p w:rsidR="0019750D" w:rsidRPr="0019750D" w:rsidRDefault="0019750D" w:rsidP="0019750D">
      <w:pPr>
        <w:spacing w:after="0" w:line="240" w:lineRule="auto"/>
        <w:jc w:val="center"/>
        <w:rPr>
          <w:rFonts w:ascii="Times New Roman" w:hAnsi="Times New Roman" w:cstheme="minorHAnsi"/>
          <w:b/>
          <w:sz w:val="20"/>
          <w:szCs w:val="20"/>
        </w:rPr>
      </w:pPr>
      <w:r w:rsidRPr="0019750D">
        <w:rPr>
          <w:rFonts w:ascii="Times New Roman" w:hAnsi="Times New Roman" w:cstheme="minorHAnsi"/>
          <w:b/>
          <w:sz w:val="20"/>
          <w:szCs w:val="20"/>
        </w:rPr>
        <w:t>ABSTRACT</w:t>
      </w:r>
    </w:p>
    <w:p w:rsidR="0019750D" w:rsidRDefault="0019750D" w:rsidP="0019750D">
      <w:pPr>
        <w:spacing w:after="0" w:line="240" w:lineRule="auto"/>
        <w:jc w:val="center"/>
        <w:rPr>
          <w:rFonts w:ascii="Times New Roman" w:hAnsi="Times New Roman" w:cstheme="minorHAnsi"/>
          <w:b/>
          <w:sz w:val="20"/>
          <w:szCs w:val="20"/>
        </w:rPr>
      </w:pPr>
    </w:p>
    <w:p w:rsidR="00FC0C39" w:rsidRPr="0019750D" w:rsidRDefault="00B95361" w:rsidP="007C2931">
      <w:pPr>
        <w:spacing w:after="0" w:line="240" w:lineRule="auto"/>
        <w:ind w:firstLine="720"/>
        <w:jc w:val="both"/>
        <w:rPr>
          <w:rFonts w:ascii="Times New Roman" w:eastAsia="Times New Roman" w:hAnsi="Times New Roman" w:cs="Times New Roman"/>
          <w:color w:val="000000"/>
          <w:sz w:val="20"/>
          <w:szCs w:val="20"/>
        </w:rPr>
      </w:pPr>
      <w:r w:rsidRPr="00B95361">
        <w:rPr>
          <w:rFonts w:ascii="Times New Roman" w:hAnsi="Times New Roman" w:cstheme="minorHAnsi"/>
          <w:sz w:val="20"/>
          <w:szCs w:val="20"/>
        </w:rPr>
        <w:t>Gover</w:t>
      </w:r>
      <w:r w:rsidR="001018E6">
        <w:rPr>
          <w:rFonts w:ascii="Times New Roman" w:hAnsi="Times New Roman" w:cstheme="minorHAnsi"/>
          <w:sz w:val="20"/>
          <w:szCs w:val="20"/>
        </w:rPr>
        <w:t>n</w:t>
      </w:r>
      <w:r w:rsidRPr="00B95361">
        <w:rPr>
          <w:rFonts w:ascii="Times New Roman" w:hAnsi="Times New Roman" w:cstheme="minorHAnsi"/>
          <w:sz w:val="20"/>
          <w:szCs w:val="20"/>
        </w:rPr>
        <w:t>ments have seen extensi</w:t>
      </w:r>
      <w:r w:rsidR="00FC0C39">
        <w:rPr>
          <w:rFonts w:ascii="Times New Roman" w:hAnsi="Times New Roman" w:cstheme="minorHAnsi"/>
          <w:sz w:val="20"/>
          <w:szCs w:val="20"/>
        </w:rPr>
        <w:t>ve changes in the financial reportin</w:t>
      </w:r>
      <w:r w:rsidR="00020D5C">
        <w:rPr>
          <w:rFonts w:ascii="Times New Roman" w:hAnsi="Times New Roman" w:cstheme="minorHAnsi"/>
          <w:sz w:val="20"/>
          <w:szCs w:val="20"/>
        </w:rPr>
        <w:t>g of Other Postemployment</w:t>
      </w:r>
      <w:r w:rsidR="00FC0C39">
        <w:rPr>
          <w:rFonts w:ascii="Times New Roman" w:hAnsi="Times New Roman" w:cstheme="minorHAnsi"/>
          <w:sz w:val="20"/>
          <w:szCs w:val="20"/>
        </w:rPr>
        <w:t xml:space="preserve"> B</w:t>
      </w:r>
      <w:r w:rsidRPr="00B95361">
        <w:rPr>
          <w:rFonts w:ascii="Times New Roman" w:hAnsi="Times New Roman" w:cstheme="minorHAnsi"/>
          <w:sz w:val="20"/>
          <w:szCs w:val="20"/>
        </w:rPr>
        <w:t xml:space="preserve">enefits (OPEB). </w:t>
      </w:r>
      <w:r w:rsidR="00FC0C39">
        <w:rPr>
          <w:rFonts w:ascii="Times New Roman" w:hAnsi="Times New Roman" w:cstheme="minorHAnsi"/>
          <w:sz w:val="20"/>
          <w:szCs w:val="20"/>
        </w:rPr>
        <w:t>The Government</w:t>
      </w:r>
      <w:r w:rsidR="00D20569">
        <w:rPr>
          <w:rFonts w:ascii="Times New Roman" w:hAnsi="Times New Roman" w:cstheme="minorHAnsi"/>
          <w:sz w:val="20"/>
          <w:szCs w:val="20"/>
        </w:rPr>
        <w:t>al</w:t>
      </w:r>
      <w:r w:rsidR="00FC0C39">
        <w:rPr>
          <w:rFonts w:ascii="Times New Roman" w:hAnsi="Times New Roman" w:cstheme="minorHAnsi"/>
          <w:sz w:val="20"/>
          <w:szCs w:val="20"/>
        </w:rPr>
        <w:t xml:space="preserve"> Accounting Standards Board (GASB)</w:t>
      </w:r>
      <w:r>
        <w:rPr>
          <w:rFonts w:ascii="Times New Roman" w:hAnsi="Times New Roman" w:cstheme="minorHAnsi"/>
          <w:sz w:val="20"/>
          <w:szCs w:val="20"/>
        </w:rPr>
        <w:t xml:space="preserve"> </w:t>
      </w:r>
      <w:r w:rsidR="00FC0C39">
        <w:rPr>
          <w:rFonts w:ascii="Times New Roman" w:hAnsi="Times New Roman" w:cstheme="minorHAnsi"/>
          <w:sz w:val="20"/>
          <w:szCs w:val="20"/>
        </w:rPr>
        <w:t xml:space="preserve">recently issued </w:t>
      </w:r>
      <w:r>
        <w:rPr>
          <w:rFonts w:ascii="Times New Roman" w:hAnsi="Times New Roman" w:cstheme="minorHAnsi"/>
          <w:sz w:val="20"/>
          <w:szCs w:val="20"/>
        </w:rPr>
        <w:t>t</w:t>
      </w:r>
      <w:r w:rsidR="00FC0C39">
        <w:rPr>
          <w:rFonts w:ascii="Times New Roman" w:hAnsi="Times New Roman" w:cstheme="minorHAnsi"/>
          <w:sz w:val="20"/>
          <w:szCs w:val="20"/>
        </w:rPr>
        <w:t>wo new Exposure Drafts t</w:t>
      </w:r>
      <w:r>
        <w:rPr>
          <w:rFonts w:ascii="Times New Roman" w:hAnsi="Times New Roman" w:cstheme="minorHAnsi"/>
          <w:sz w:val="20"/>
          <w:szCs w:val="20"/>
        </w:rPr>
        <w:t xml:space="preserve">o further improve </w:t>
      </w:r>
      <w:r w:rsidR="00FC0C39">
        <w:rPr>
          <w:rFonts w:ascii="Times New Roman" w:hAnsi="Times New Roman" w:cstheme="minorHAnsi"/>
          <w:sz w:val="20"/>
          <w:szCs w:val="20"/>
        </w:rPr>
        <w:t xml:space="preserve">transparency and comparability. </w:t>
      </w:r>
      <w:r w:rsidR="00CC0A4C">
        <w:rPr>
          <w:rFonts w:ascii="Times New Roman" w:hAnsi="Times New Roman" w:cstheme="minorHAnsi"/>
          <w:sz w:val="20"/>
          <w:szCs w:val="20"/>
        </w:rPr>
        <w:t xml:space="preserve">New GASB OPEB accounting standards will be adopted after the Exposure Drafts are approved.  </w:t>
      </w:r>
      <w:r w:rsidR="00FC0C39" w:rsidRPr="0019750D">
        <w:rPr>
          <w:rFonts w:ascii="Times New Roman" w:eastAsia="Times New Roman" w:hAnsi="Times New Roman" w:cs="Times New Roman"/>
          <w:color w:val="000000"/>
          <w:sz w:val="20"/>
          <w:szCs w:val="20"/>
        </w:rPr>
        <w:t>The purpose of this paper is to shed light on past and current reporting as we</w:t>
      </w:r>
      <w:r w:rsidR="00FC0C39">
        <w:rPr>
          <w:rFonts w:ascii="Times New Roman" w:eastAsia="Times New Roman" w:hAnsi="Times New Roman" w:cs="Times New Roman"/>
          <w:color w:val="000000"/>
          <w:sz w:val="20"/>
          <w:szCs w:val="20"/>
        </w:rPr>
        <w:t>ll as how significantly GASB</w:t>
      </w:r>
      <w:r w:rsidR="00FC0C39" w:rsidRPr="0019750D">
        <w:rPr>
          <w:rFonts w:ascii="Times New Roman" w:eastAsia="Times New Roman" w:hAnsi="Times New Roman" w:cs="Times New Roman"/>
          <w:color w:val="000000"/>
          <w:sz w:val="20"/>
          <w:szCs w:val="20"/>
        </w:rPr>
        <w:t xml:space="preserve"> will change</w:t>
      </w:r>
      <w:r w:rsidR="00FC0C39">
        <w:rPr>
          <w:rFonts w:ascii="Times New Roman" w:eastAsia="Times New Roman" w:hAnsi="Times New Roman" w:cs="Times New Roman"/>
          <w:color w:val="000000"/>
          <w:sz w:val="20"/>
          <w:szCs w:val="20"/>
        </w:rPr>
        <w:t xml:space="preserve"> the way </w:t>
      </w:r>
      <w:r w:rsidR="00FC0C39" w:rsidRPr="0019750D">
        <w:rPr>
          <w:rFonts w:ascii="Times New Roman" w:eastAsia="Times New Roman" w:hAnsi="Times New Roman" w:cs="Times New Roman"/>
          <w:color w:val="000000"/>
          <w:sz w:val="20"/>
          <w:szCs w:val="20"/>
        </w:rPr>
        <w:t>government</w:t>
      </w:r>
      <w:r w:rsidR="00FC0C39">
        <w:rPr>
          <w:rFonts w:ascii="Times New Roman" w:eastAsia="Times New Roman" w:hAnsi="Times New Roman" w:cs="Times New Roman"/>
          <w:color w:val="000000"/>
          <w:sz w:val="20"/>
          <w:szCs w:val="20"/>
        </w:rPr>
        <w:t xml:space="preserve">s </w:t>
      </w:r>
      <w:r w:rsidR="006333B3">
        <w:rPr>
          <w:rFonts w:ascii="Times New Roman" w:eastAsia="Times New Roman" w:hAnsi="Times New Roman" w:cs="Times New Roman"/>
          <w:color w:val="000000"/>
          <w:sz w:val="20"/>
          <w:szCs w:val="20"/>
        </w:rPr>
        <w:t>report their</w:t>
      </w:r>
      <w:r w:rsidR="00FC0C39" w:rsidRPr="0019750D">
        <w:rPr>
          <w:rFonts w:ascii="Times New Roman" w:eastAsia="Times New Roman" w:hAnsi="Times New Roman" w:cs="Times New Roman"/>
          <w:color w:val="000000"/>
          <w:sz w:val="20"/>
          <w:szCs w:val="20"/>
        </w:rPr>
        <w:t xml:space="preserve"> OPEB liabilities in the future </w:t>
      </w:r>
      <w:r w:rsidR="00FC0C39" w:rsidRPr="0019750D">
        <w:rPr>
          <w:rFonts w:ascii="Times New Roman" w:hAnsi="Times New Roman" w:cstheme="minorHAnsi"/>
          <w:sz w:val="20"/>
          <w:szCs w:val="20"/>
        </w:rPr>
        <w:t xml:space="preserve">through </w:t>
      </w:r>
      <w:r w:rsidR="00362068">
        <w:rPr>
          <w:rFonts w:ascii="Times New Roman" w:hAnsi="Times New Roman" w:cstheme="minorHAnsi"/>
          <w:sz w:val="20"/>
          <w:szCs w:val="20"/>
        </w:rPr>
        <w:t>a comprehensive review of 12</w:t>
      </w:r>
      <w:r w:rsidR="00FC0C39" w:rsidRPr="0019750D">
        <w:rPr>
          <w:rFonts w:ascii="Times New Roman" w:hAnsi="Times New Roman" w:cstheme="minorHAnsi"/>
          <w:sz w:val="20"/>
          <w:szCs w:val="20"/>
        </w:rPr>
        <w:t xml:space="preserve"> U</w:t>
      </w:r>
      <w:r w:rsidR="00D908DE">
        <w:rPr>
          <w:rFonts w:ascii="Times New Roman" w:hAnsi="Times New Roman" w:cstheme="minorHAnsi"/>
          <w:sz w:val="20"/>
          <w:szCs w:val="20"/>
        </w:rPr>
        <w:t>.</w:t>
      </w:r>
      <w:r w:rsidR="00FC0C39" w:rsidRPr="0019750D">
        <w:rPr>
          <w:rFonts w:ascii="Times New Roman" w:hAnsi="Times New Roman" w:cstheme="minorHAnsi"/>
          <w:sz w:val="20"/>
          <w:szCs w:val="20"/>
        </w:rPr>
        <w:t>S</w:t>
      </w:r>
      <w:r w:rsidR="00D908DE">
        <w:rPr>
          <w:rFonts w:ascii="Times New Roman" w:hAnsi="Times New Roman" w:cstheme="minorHAnsi"/>
          <w:sz w:val="20"/>
          <w:szCs w:val="20"/>
        </w:rPr>
        <w:t>.</w:t>
      </w:r>
      <w:r w:rsidR="00FC0C39" w:rsidRPr="0019750D">
        <w:rPr>
          <w:rFonts w:ascii="Times New Roman" w:hAnsi="Times New Roman" w:cstheme="minorHAnsi"/>
          <w:sz w:val="20"/>
          <w:szCs w:val="20"/>
        </w:rPr>
        <w:t xml:space="preserve"> </w:t>
      </w:r>
      <w:r w:rsidR="00FC0C39" w:rsidRPr="0019750D">
        <w:rPr>
          <w:rFonts w:ascii="Times New Roman" w:eastAsia="Times New Roman" w:hAnsi="Times New Roman" w:cs="Times New Roman"/>
          <w:color w:val="000000"/>
          <w:sz w:val="20"/>
          <w:szCs w:val="20"/>
        </w:rPr>
        <w:t xml:space="preserve">counties’ reporting of OPEB obligations and unfunded liabilities from 2006 to 2013.  </w:t>
      </w:r>
      <w:r w:rsidR="00F108BC">
        <w:rPr>
          <w:rFonts w:ascii="Times New Roman" w:hAnsi="Times New Roman" w:cstheme="minorHAnsi"/>
          <w:sz w:val="20"/>
          <w:szCs w:val="20"/>
        </w:rPr>
        <w:t>Our research</w:t>
      </w:r>
      <w:r w:rsidR="00FC0C39" w:rsidRPr="0019750D">
        <w:rPr>
          <w:rFonts w:ascii="Times New Roman" w:hAnsi="Times New Roman" w:cstheme="minorHAnsi"/>
          <w:sz w:val="20"/>
          <w:szCs w:val="20"/>
        </w:rPr>
        <w:t xml:space="preserve"> analyzes the stages of OPEB reporting from Pay-as-You-Go, to recognition of incremental net OPEB obligation</w:t>
      </w:r>
      <w:r w:rsidR="002C11EC">
        <w:rPr>
          <w:rFonts w:ascii="Times New Roman" w:hAnsi="Times New Roman" w:cstheme="minorHAnsi"/>
          <w:sz w:val="20"/>
          <w:szCs w:val="20"/>
        </w:rPr>
        <w:t>s</w:t>
      </w:r>
      <w:r w:rsidR="00CC0A4C">
        <w:rPr>
          <w:rFonts w:ascii="Times New Roman" w:hAnsi="Times New Roman" w:cstheme="minorHAnsi"/>
          <w:sz w:val="20"/>
          <w:szCs w:val="20"/>
        </w:rPr>
        <w:t>,</w:t>
      </w:r>
      <w:r w:rsidR="00FC0C39" w:rsidRPr="0019750D">
        <w:rPr>
          <w:rFonts w:ascii="Times New Roman" w:hAnsi="Times New Roman" w:cstheme="minorHAnsi"/>
          <w:sz w:val="20"/>
          <w:szCs w:val="20"/>
        </w:rPr>
        <w:t xml:space="preserve"> to requiring essentially all unfund</w:t>
      </w:r>
      <w:r w:rsidR="00FC0C39">
        <w:rPr>
          <w:rFonts w:ascii="Times New Roman" w:hAnsi="Times New Roman" w:cstheme="minorHAnsi"/>
          <w:sz w:val="20"/>
          <w:szCs w:val="20"/>
        </w:rPr>
        <w:t>ed actuarially accrued liabilities</w:t>
      </w:r>
      <w:r w:rsidR="00FC0C39" w:rsidRPr="0019750D">
        <w:rPr>
          <w:rFonts w:ascii="Times New Roman" w:hAnsi="Times New Roman" w:cstheme="minorHAnsi"/>
          <w:sz w:val="20"/>
          <w:szCs w:val="20"/>
        </w:rPr>
        <w:t xml:space="preserve"> to </w:t>
      </w:r>
      <w:r w:rsidR="00362068">
        <w:rPr>
          <w:rFonts w:ascii="Times New Roman" w:hAnsi="Times New Roman" w:cstheme="minorHAnsi"/>
          <w:sz w:val="20"/>
          <w:szCs w:val="20"/>
        </w:rPr>
        <w:t>be recognized on governmental</w:t>
      </w:r>
      <w:r w:rsidR="00FC0C39" w:rsidRPr="0019750D">
        <w:rPr>
          <w:rFonts w:ascii="Times New Roman" w:hAnsi="Times New Roman" w:cstheme="minorHAnsi"/>
          <w:sz w:val="20"/>
          <w:szCs w:val="20"/>
        </w:rPr>
        <w:t xml:space="preserve"> financial statements. </w:t>
      </w:r>
      <w:r w:rsidR="00F108BC">
        <w:rPr>
          <w:rFonts w:ascii="Times New Roman" w:eastAsia="Times New Roman" w:hAnsi="Times New Roman" w:cs="Times New Roman"/>
          <w:color w:val="000000"/>
          <w:sz w:val="20"/>
          <w:szCs w:val="20"/>
        </w:rPr>
        <w:t>We</w:t>
      </w:r>
      <w:r w:rsidR="00FC0C39" w:rsidRPr="0019750D">
        <w:rPr>
          <w:rFonts w:ascii="Times New Roman" w:eastAsia="Times New Roman" w:hAnsi="Times New Roman" w:cs="Times New Roman"/>
          <w:color w:val="000000"/>
          <w:sz w:val="20"/>
          <w:szCs w:val="20"/>
        </w:rPr>
        <w:t xml:space="preserve"> found inconsistencies in the </w:t>
      </w:r>
      <w:r w:rsidR="00362068">
        <w:rPr>
          <w:rFonts w:ascii="Times New Roman" w:eastAsia="Times New Roman" w:hAnsi="Times New Roman" w:cs="Times New Roman"/>
          <w:color w:val="000000"/>
          <w:sz w:val="20"/>
          <w:szCs w:val="20"/>
        </w:rPr>
        <w:t>12</w:t>
      </w:r>
      <w:r w:rsidR="006333B3">
        <w:rPr>
          <w:rFonts w:ascii="Times New Roman" w:eastAsia="Times New Roman" w:hAnsi="Times New Roman" w:cs="Times New Roman"/>
          <w:color w:val="000000"/>
          <w:sz w:val="20"/>
          <w:szCs w:val="20"/>
        </w:rPr>
        <w:t xml:space="preserve"> </w:t>
      </w:r>
      <w:r w:rsidR="00FC0C39" w:rsidRPr="0019750D">
        <w:rPr>
          <w:rFonts w:ascii="Times New Roman" w:eastAsia="Times New Roman" w:hAnsi="Times New Roman" w:cs="Times New Roman"/>
          <w:color w:val="000000"/>
          <w:sz w:val="20"/>
          <w:szCs w:val="20"/>
        </w:rPr>
        <w:t xml:space="preserve">counties’ current use of discount rates and other actuarial methods, supporting GASB’s claims that the new standards will make governmental financial statements more comparable. Moreover, by examining current disclosures, we documented the likely magnitude of the increase in liabilities. </w:t>
      </w:r>
      <w:r w:rsidR="00F108BC">
        <w:rPr>
          <w:rFonts w:ascii="Times New Roman" w:eastAsia="Times New Roman" w:hAnsi="Times New Roman" w:cs="Times New Roman"/>
          <w:color w:val="000000"/>
          <w:sz w:val="20"/>
          <w:szCs w:val="20"/>
        </w:rPr>
        <w:t>Our study revealed, after the new GASB standards are implemented, reported OPEB liabili</w:t>
      </w:r>
      <w:r w:rsidR="00A424AB">
        <w:rPr>
          <w:rFonts w:ascii="Times New Roman" w:eastAsia="Times New Roman" w:hAnsi="Times New Roman" w:cs="Times New Roman"/>
          <w:color w:val="000000"/>
          <w:sz w:val="20"/>
          <w:szCs w:val="20"/>
        </w:rPr>
        <w:t>ties may</w:t>
      </w:r>
      <w:r w:rsidR="00362068">
        <w:rPr>
          <w:rFonts w:ascii="Times New Roman" w:eastAsia="Times New Roman" w:hAnsi="Times New Roman" w:cs="Times New Roman"/>
          <w:color w:val="000000"/>
          <w:sz w:val="20"/>
          <w:szCs w:val="20"/>
        </w:rPr>
        <w:t xml:space="preserve"> increase a </w:t>
      </w:r>
      <w:r w:rsidR="005E58F5">
        <w:rPr>
          <w:rFonts w:ascii="Times New Roman" w:eastAsia="Times New Roman" w:hAnsi="Times New Roman" w:cs="Times New Roman"/>
          <w:color w:val="000000"/>
          <w:sz w:val="20"/>
          <w:szCs w:val="20"/>
        </w:rPr>
        <w:t>sizable six</w:t>
      </w:r>
      <w:r w:rsidR="00F108BC">
        <w:rPr>
          <w:rFonts w:ascii="Times New Roman" w:eastAsia="Times New Roman" w:hAnsi="Times New Roman" w:cs="Times New Roman"/>
          <w:color w:val="000000"/>
          <w:sz w:val="20"/>
          <w:szCs w:val="20"/>
        </w:rPr>
        <w:t xml:space="preserve"> times the am</w:t>
      </w:r>
      <w:r w:rsidR="002F1D05">
        <w:rPr>
          <w:rFonts w:ascii="Times New Roman" w:eastAsia="Times New Roman" w:hAnsi="Times New Roman" w:cs="Times New Roman"/>
          <w:color w:val="000000"/>
          <w:sz w:val="20"/>
          <w:szCs w:val="20"/>
        </w:rPr>
        <w:t>ount that are currently disclosed</w:t>
      </w:r>
      <w:bookmarkStart w:id="0" w:name="_GoBack"/>
      <w:bookmarkEnd w:id="0"/>
      <w:r w:rsidR="00F108BC">
        <w:rPr>
          <w:rFonts w:ascii="Times New Roman" w:eastAsia="Times New Roman" w:hAnsi="Times New Roman" w:cs="Times New Roman"/>
          <w:color w:val="000000"/>
          <w:sz w:val="20"/>
          <w:szCs w:val="20"/>
        </w:rPr>
        <w:t xml:space="preserve">. </w:t>
      </w:r>
    </w:p>
    <w:p w:rsidR="001018E6" w:rsidRPr="00B95361" w:rsidRDefault="001018E6" w:rsidP="00B95361">
      <w:pPr>
        <w:spacing w:after="0" w:line="240" w:lineRule="auto"/>
        <w:jc w:val="both"/>
        <w:rPr>
          <w:rFonts w:ascii="Times New Roman" w:hAnsi="Times New Roman" w:cstheme="minorHAnsi"/>
          <w:sz w:val="20"/>
          <w:szCs w:val="20"/>
        </w:rPr>
      </w:pPr>
    </w:p>
    <w:p w:rsidR="00F41300" w:rsidRPr="00F525F9" w:rsidRDefault="0019750D" w:rsidP="00F525F9">
      <w:pPr>
        <w:spacing w:after="0" w:line="240" w:lineRule="auto"/>
        <w:jc w:val="center"/>
        <w:rPr>
          <w:rFonts w:ascii="Times New Roman" w:hAnsi="Times New Roman" w:cstheme="minorHAnsi"/>
          <w:b/>
          <w:sz w:val="20"/>
          <w:szCs w:val="20"/>
        </w:rPr>
      </w:pPr>
      <w:r w:rsidRPr="00F525F9">
        <w:rPr>
          <w:rFonts w:ascii="Times New Roman" w:hAnsi="Times New Roman" w:cstheme="minorHAnsi"/>
          <w:b/>
          <w:sz w:val="20"/>
          <w:szCs w:val="20"/>
        </w:rPr>
        <w:t>INTRODUCTION</w:t>
      </w:r>
    </w:p>
    <w:p w:rsidR="0019750D" w:rsidRPr="0019750D" w:rsidRDefault="0019750D" w:rsidP="0019750D">
      <w:pPr>
        <w:pStyle w:val="ListParagraph"/>
        <w:spacing w:after="0" w:line="240" w:lineRule="auto"/>
        <w:rPr>
          <w:rFonts w:ascii="Times New Roman" w:hAnsi="Times New Roman" w:cstheme="minorHAnsi"/>
          <w:b/>
          <w:sz w:val="20"/>
          <w:szCs w:val="20"/>
        </w:rPr>
      </w:pPr>
    </w:p>
    <w:p w:rsidR="00A95250" w:rsidRDefault="00D847FB" w:rsidP="007C2931">
      <w:pPr>
        <w:spacing w:after="0" w:line="240" w:lineRule="auto"/>
        <w:ind w:firstLine="720"/>
        <w:jc w:val="both"/>
        <w:rPr>
          <w:rFonts w:ascii="Times New Roman" w:hAnsi="Times New Roman" w:cstheme="minorHAnsi"/>
          <w:sz w:val="20"/>
          <w:szCs w:val="20"/>
        </w:rPr>
      </w:pPr>
      <w:r w:rsidRPr="0019750D">
        <w:rPr>
          <w:rFonts w:ascii="Times New Roman" w:hAnsi="Times New Roman" w:cstheme="minorHAnsi"/>
          <w:sz w:val="20"/>
          <w:szCs w:val="20"/>
        </w:rPr>
        <w:t>Although the</w:t>
      </w:r>
      <w:r w:rsidR="00F41300" w:rsidRPr="0019750D">
        <w:rPr>
          <w:rFonts w:ascii="Times New Roman" w:hAnsi="Times New Roman" w:cstheme="minorHAnsi"/>
          <w:sz w:val="20"/>
          <w:szCs w:val="20"/>
        </w:rPr>
        <w:t xml:space="preserve"> impact of pension costs on municipal budgets and taxpayers has rece</w:t>
      </w:r>
      <w:r w:rsidRPr="0019750D">
        <w:rPr>
          <w:rFonts w:ascii="Times New Roman" w:hAnsi="Times New Roman" w:cstheme="minorHAnsi"/>
          <w:sz w:val="20"/>
          <w:szCs w:val="20"/>
        </w:rPr>
        <w:t xml:space="preserve">ived a great deal of </w:t>
      </w:r>
      <w:r w:rsidR="00C26FC1" w:rsidRPr="0019750D">
        <w:rPr>
          <w:rFonts w:ascii="Times New Roman" w:hAnsi="Times New Roman" w:cstheme="minorHAnsi"/>
          <w:sz w:val="20"/>
          <w:szCs w:val="20"/>
        </w:rPr>
        <w:t>attention (Cable and Healy, 2011</w:t>
      </w:r>
      <w:r w:rsidRPr="0019750D">
        <w:rPr>
          <w:rFonts w:ascii="Times New Roman" w:hAnsi="Times New Roman" w:cstheme="minorHAnsi"/>
          <w:sz w:val="20"/>
          <w:szCs w:val="20"/>
        </w:rPr>
        <w:t>), the</w:t>
      </w:r>
      <w:r w:rsidR="00F41300" w:rsidRPr="0019750D">
        <w:rPr>
          <w:rFonts w:ascii="Times New Roman" w:hAnsi="Times New Roman" w:cstheme="minorHAnsi"/>
          <w:sz w:val="20"/>
          <w:szCs w:val="20"/>
        </w:rPr>
        <w:t xml:space="preserve"> important i</w:t>
      </w:r>
      <w:r w:rsidR="001018E6">
        <w:rPr>
          <w:rFonts w:ascii="Times New Roman" w:hAnsi="Times New Roman" w:cstheme="minorHAnsi"/>
          <w:sz w:val="20"/>
          <w:szCs w:val="20"/>
        </w:rPr>
        <w:t xml:space="preserve">ssue of </w:t>
      </w:r>
      <w:r w:rsidR="00020D5C">
        <w:rPr>
          <w:rFonts w:ascii="Times New Roman" w:hAnsi="Times New Roman" w:cstheme="minorHAnsi"/>
          <w:sz w:val="20"/>
          <w:szCs w:val="20"/>
        </w:rPr>
        <w:t>Other Postemployment</w:t>
      </w:r>
      <w:r w:rsidR="006333B3">
        <w:rPr>
          <w:rFonts w:ascii="Times New Roman" w:hAnsi="Times New Roman" w:cstheme="minorHAnsi"/>
          <w:sz w:val="20"/>
          <w:szCs w:val="20"/>
        </w:rPr>
        <w:t xml:space="preserve"> Benefits (</w:t>
      </w:r>
      <w:r w:rsidR="001018E6">
        <w:rPr>
          <w:rFonts w:ascii="Times New Roman" w:hAnsi="Times New Roman" w:cstheme="minorHAnsi"/>
          <w:sz w:val="20"/>
          <w:szCs w:val="20"/>
        </w:rPr>
        <w:t>OPEB</w:t>
      </w:r>
      <w:r w:rsidR="006333B3">
        <w:rPr>
          <w:rFonts w:ascii="Times New Roman" w:hAnsi="Times New Roman" w:cstheme="minorHAnsi"/>
          <w:sz w:val="20"/>
          <w:szCs w:val="20"/>
        </w:rPr>
        <w:t>)</w:t>
      </w:r>
      <w:r w:rsidR="00301D03" w:rsidRPr="0019750D">
        <w:rPr>
          <w:rFonts w:ascii="Times New Roman" w:hAnsi="Times New Roman" w:cstheme="minorHAnsi"/>
          <w:sz w:val="20"/>
          <w:szCs w:val="20"/>
        </w:rPr>
        <w:t xml:space="preserve"> often has</w:t>
      </w:r>
      <w:r w:rsidRPr="0019750D">
        <w:rPr>
          <w:rFonts w:ascii="Times New Roman" w:hAnsi="Times New Roman" w:cstheme="minorHAnsi"/>
          <w:sz w:val="20"/>
          <w:szCs w:val="20"/>
        </w:rPr>
        <w:t xml:space="preserve"> been </w:t>
      </w:r>
      <w:r w:rsidR="00F41300" w:rsidRPr="0019750D">
        <w:rPr>
          <w:rFonts w:ascii="Times New Roman" w:hAnsi="Times New Roman" w:cstheme="minorHAnsi"/>
          <w:sz w:val="20"/>
          <w:szCs w:val="20"/>
        </w:rPr>
        <w:t xml:space="preserve">overlooked.  </w:t>
      </w:r>
      <w:r w:rsidR="00FC0C39">
        <w:rPr>
          <w:rFonts w:ascii="Times New Roman" w:hAnsi="Times New Roman" w:cstheme="minorHAnsi"/>
          <w:sz w:val="20"/>
          <w:szCs w:val="20"/>
        </w:rPr>
        <w:t>Government</w:t>
      </w:r>
      <w:r w:rsidR="00D20569">
        <w:rPr>
          <w:rFonts w:ascii="Times New Roman" w:hAnsi="Times New Roman" w:cstheme="minorHAnsi"/>
          <w:sz w:val="20"/>
          <w:szCs w:val="20"/>
        </w:rPr>
        <w:t>al</w:t>
      </w:r>
      <w:r w:rsidR="00FC0C39">
        <w:rPr>
          <w:rFonts w:ascii="Times New Roman" w:hAnsi="Times New Roman" w:cstheme="minorHAnsi"/>
          <w:sz w:val="20"/>
          <w:szCs w:val="20"/>
        </w:rPr>
        <w:t xml:space="preserve"> Accounting Standards Board (</w:t>
      </w:r>
      <w:r w:rsidR="00301D03" w:rsidRPr="0019750D">
        <w:rPr>
          <w:rFonts w:ascii="Times New Roman" w:hAnsi="Times New Roman" w:cstheme="minorHAnsi"/>
          <w:sz w:val="20"/>
          <w:szCs w:val="20"/>
        </w:rPr>
        <w:t>GASB</w:t>
      </w:r>
      <w:r w:rsidR="00FC0C39">
        <w:rPr>
          <w:rFonts w:ascii="Times New Roman" w:hAnsi="Times New Roman" w:cstheme="minorHAnsi"/>
          <w:sz w:val="20"/>
          <w:szCs w:val="20"/>
        </w:rPr>
        <w:t>)</w:t>
      </w:r>
      <w:r w:rsidR="00301D03" w:rsidRPr="0019750D">
        <w:rPr>
          <w:rFonts w:ascii="Times New Roman" w:hAnsi="Times New Roman" w:cstheme="minorHAnsi"/>
          <w:sz w:val="20"/>
          <w:szCs w:val="20"/>
        </w:rPr>
        <w:t xml:space="preserve"> Chair, Dav</w:t>
      </w:r>
      <w:r w:rsidR="00402425" w:rsidRPr="0019750D">
        <w:rPr>
          <w:rFonts w:ascii="Times New Roman" w:hAnsi="Times New Roman" w:cstheme="minorHAnsi"/>
          <w:sz w:val="20"/>
          <w:szCs w:val="20"/>
        </w:rPr>
        <w:t xml:space="preserve">id </w:t>
      </w:r>
      <w:r w:rsidR="00301D03" w:rsidRPr="0019750D">
        <w:rPr>
          <w:rFonts w:ascii="Times New Roman" w:hAnsi="Times New Roman" w:cstheme="minorHAnsi"/>
          <w:sz w:val="20"/>
          <w:szCs w:val="20"/>
        </w:rPr>
        <w:t>Vaudt stated, “OPEB – which consists of mainly health care benefits – represents a very significant liability for many state and local governments, one that is magnified because relatively few governments have set aside any a</w:t>
      </w:r>
      <w:r w:rsidR="002C11EC">
        <w:rPr>
          <w:rFonts w:ascii="Times New Roman" w:hAnsi="Times New Roman" w:cstheme="minorHAnsi"/>
          <w:sz w:val="20"/>
          <w:szCs w:val="20"/>
        </w:rPr>
        <w:t>ssets to pay for those benefits</w:t>
      </w:r>
      <w:r w:rsidR="00301D03" w:rsidRPr="0019750D">
        <w:rPr>
          <w:rFonts w:ascii="Times New Roman" w:hAnsi="Times New Roman" w:cstheme="minorHAnsi"/>
          <w:sz w:val="20"/>
          <w:szCs w:val="20"/>
        </w:rPr>
        <w:t>” (GASB</w:t>
      </w:r>
      <w:r w:rsidR="002C11EC">
        <w:rPr>
          <w:rFonts w:ascii="Times New Roman" w:hAnsi="Times New Roman" w:cstheme="minorHAnsi"/>
          <w:sz w:val="20"/>
          <w:szCs w:val="20"/>
        </w:rPr>
        <w:t>,</w:t>
      </w:r>
      <w:r w:rsidR="00301D03" w:rsidRPr="0019750D">
        <w:rPr>
          <w:rFonts w:ascii="Times New Roman" w:hAnsi="Times New Roman" w:cstheme="minorHAnsi"/>
          <w:sz w:val="20"/>
          <w:szCs w:val="20"/>
        </w:rPr>
        <w:t xml:space="preserve"> 2014</w:t>
      </w:r>
      <w:r w:rsidR="002C11EC">
        <w:rPr>
          <w:rFonts w:ascii="Times New Roman" w:hAnsi="Times New Roman" w:cstheme="minorHAnsi"/>
          <w:sz w:val="20"/>
          <w:szCs w:val="20"/>
        </w:rPr>
        <w:t>, p. 1</w:t>
      </w:r>
      <w:r w:rsidR="00301D03" w:rsidRPr="0019750D">
        <w:rPr>
          <w:rFonts w:ascii="Times New Roman" w:hAnsi="Times New Roman" w:cstheme="minorHAnsi"/>
          <w:sz w:val="20"/>
          <w:szCs w:val="20"/>
        </w:rPr>
        <w:t>)</w:t>
      </w:r>
      <w:r w:rsidR="002C11EC">
        <w:rPr>
          <w:rFonts w:ascii="Times New Roman" w:hAnsi="Times New Roman" w:cstheme="minorHAnsi"/>
          <w:sz w:val="20"/>
          <w:szCs w:val="20"/>
        </w:rPr>
        <w:t>.</w:t>
      </w:r>
      <w:r w:rsidR="00301D03" w:rsidRPr="0019750D">
        <w:rPr>
          <w:rFonts w:ascii="Times New Roman" w:hAnsi="Times New Roman" w:cstheme="minorHAnsi"/>
          <w:sz w:val="20"/>
          <w:szCs w:val="20"/>
        </w:rPr>
        <w:t xml:space="preserve">  Because of this, Eyre observe</w:t>
      </w:r>
      <w:r w:rsidR="00415DDE" w:rsidRPr="0019750D">
        <w:rPr>
          <w:rFonts w:ascii="Times New Roman" w:hAnsi="Times New Roman" w:cstheme="minorHAnsi"/>
          <w:sz w:val="20"/>
          <w:szCs w:val="20"/>
        </w:rPr>
        <w:t>d that many of these liabilities</w:t>
      </w:r>
      <w:r w:rsidR="00301D03" w:rsidRPr="0019750D">
        <w:rPr>
          <w:rFonts w:ascii="Times New Roman" w:hAnsi="Times New Roman" w:cstheme="minorHAnsi"/>
          <w:sz w:val="20"/>
          <w:szCs w:val="20"/>
        </w:rPr>
        <w:t xml:space="preserve"> have gr</w:t>
      </w:r>
      <w:r w:rsidR="002C11EC">
        <w:rPr>
          <w:rFonts w:ascii="Times New Roman" w:hAnsi="Times New Roman" w:cstheme="minorHAnsi"/>
          <w:sz w:val="20"/>
          <w:szCs w:val="20"/>
        </w:rPr>
        <w:t xml:space="preserve">own significantly over time </w:t>
      </w:r>
      <w:r w:rsidR="00301D03" w:rsidRPr="0019750D">
        <w:rPr>
          <w:rFonts w:ascii="Times New Roman" w:hAnsi="Times New Roman" w:cstheme="minorHAnsi"/>
          <w:sz w:val="20"/>
          <w:szCs w:val="20"/>
        </w:rPr>
        <w:t>(</w:t>
      </w:r>
      <w:r w:rsidR="00402425" w:rsidRPr="0019750D">
        <w:rPr>
          <w:rFonts w:ascii="Times New Roman" w:hAnsi="Times New Roman" w:cstheme="minorHAnsi"/>
          <w:sz w:val="20"/>
          <w:szCs w:val="20"/>
        </w:rPr>
        <w:t>Eyre</w:t>
      </w:r>
      <w:r w:rsidR="002C11EC">
        <w:rPr>
          <w:rFonts w:ascii="Times New Roman" w:hAnsi="Times New Roman" w:cstheme="minorHAnsi"/>
          <w:sz w:val="20"/>
          <w:szCs w:val="20"/>
        </w:rPr>
        <w:t>,</w:t>
      </w:r>
      <w:r w:rsidR="00402425" w:rsidRPr="0019750D">
        <w:rPr>
          <w:rFonts w:ascii="Times New Roman" w:hAnsi="Times New Roman" w:cstheme="minorHAnsi"/>
          <w:sz w:val="20"/>
          <w:szCs w:val="20"/>
        </w:rPr>
        <w:t xml:space="preserve"> 2013)</w:t>
      </w:r>
      <w:r w:rsidR="002C11EC">
        <w:rPr>
          <w:rFonts w:ascii="Times New Roman" w:hAnsi="Times New Roman" w:cstheme="minorHAnsi"/>
          <w:sz w:val="20"/>
          <w:szCs w:val="20"/>
        </w:rPr>
        <w:t>.</w:t>
      </w:r>
      <w:r w:rsidR="00402425" w:rsidRPr="0019750D">
        <w:rPr>
          <w:rFonts w:ascii="Times New Roman" w:hAnsi="Times New Roman" w:cstheme="minorHAnsi"/>
          <w:sz w:val="20"/>
          <w:szCs w:val="20"/>
        </w:rPr>
        <w:t xml:space="preserve"> </w:t>
      </w:r>
      <w:r w:rsidR="003E1A6C" w:rsidRPr="0019750D">
        <w:rPr>
          <w:rFonts w:ascii="Times New Roman" w:hAnsi="Times New Roman" w:cstheme="minorHAnsi"/>
          <w:sz w:val="20"/>
          <w:szCs w:val="20"/>
        </w:rPr>
        <w:t>A</w:t>
      </w:r>
      <w:r w:rsidR="00A95250" w:rsidRPr="0019750D">
        <w:rPr>
          <w:rFonts w:ascii="Times New Roman" w:hAnsi="Times New Roman" w:cstheme="minorHAnsi"/>
          <w:sz w:val="20"/>
          <w:szCs w:val="20"/>
        </w:rPr>
        <w:t xml:space="preserve"> </w:t>
      </w:r>
      <w:r w:rsidR="00F41300" w:rsidRPr="0019750D">
        <w:rPr>
          <w:rFonts w:ascii="Times New Roman" w:hAnsi="Times New Roman" w:cstheme="minorHAnsi"/>
          <w:sz w:val="20"/>
          <w:szCs w:val="20"/>
        </w:rPr>
        <w:t>Pew Charitable Trust report</w:t>
      </w:r>
      <w:r w:rsidR="003E1A6C" w:rsidRPr="0019750D">
        <w:rPr>
          <w:rFonts w:ascii="Times New Roman" w:hAnsi="Times New Roman" w:cstheme="minorHAnsi"/>
          <w:sz w:val="20"/>
          <w:szCs w:val="20"/>
        </w:rPr>
        <w:t xml:space="preserve"> presen</w:t>
      </w:r>
      <w:r w:rsidR="00301D03" w:rsidRPr="0019750D">
        <w:rPr>
          <w:rFonts w:ascii="Times New Roman" w:hAnsi="Times New Roman" w:cstheme="minorHAnsi"/>
          <w:sz w:val="20"/>
          <w:szCs w:val="20"/>
        </w:rPr>
        <w:t>ted</w:t>
      </w:r>
      <w:r w:rsidR="00A95250" w:rsidRPr="0019750D">
        <w:rPr>
          <w:rFonts w:ascii="Times New Roman" w:hAnsi="Times New Roman" w:cstheme="minorHAnsi"/>
          <w:sz w:val="20"/>
          <w:szCs w:val="20"/>
        </w:rPr>
        <w:t xml:space="preserve"> an estimate of</w:t>
      </w:r>
      <w:r w:rsidR="00301D03" w:rsidRPr="0019750D">
        <w:rPr>
          <w:rFonts w:ascii="Times New Roman" w:hAnsi="Times New Roman" w:cstheme="minorHAnsi"/>
          <w:sz w:val="20"/>
          <w:szCs w:val="20"/>
        </w:rPr>
        <w:t xml:space="preserve"> the </w:t>
      </w:r>
      <w:r w:rsidR="00415DDE" w:rsidRPr="0019750D">
        <w:rPr>
          <w:rFonts w:ascii="Times New Roman" w:hAnsi="Times New Roman" w:cstheme="minorHAnsi"/>
          <w:sz w:val="20"/>
          <w:szCs w:val="20"/>
        </w:rPr>
        <w:t>funding shortfall.  This</w:t>
      </w:r>
      <w:r w:rsidR="00A95250" w:rsidRPr="0019750D">
        <w:rPr>
          <w:rFonts w:ascii="Times New Roman" w:hAnsi="Times New Roman" w:cstheme="minorHAnsi"/>
          <w:sz w:val="20"/>
          <w:szCs w:val="20"/>
        </w:rPr>
        <w:t xml:space="preserve"> report</w:t>
      </w:r>
      <w:r w:rsidR="00F41300" w:rsidRPr="0019750D">
        <w:rPr>
          <w:rFonts w:ascii="Times New Roman" w:hAnsi="Times New Roman" w:cstheme="minorHAnsi"/>
          <w:sz w:val="20"/>
          <w:szCs w:val="20"/>
        </w:rPr>
        <w:t xml:space="preserve"> found that </w:t>
      </w:r>
      <w:r w:rsidR="00C4441D" w:rsidRPr="0019750D">
        <w:rPr>
          <w:rFonts w:ascii="Times New Roman" w:hAnsi="Times New Roman" w:cstheme="minorHAnsi"/>
          <w:sz w:val="20"/>
          <w:szCs w:val="20"/>
        </w:rPr>
        <w:t xml:space="preserve">in addition to </w:t>
      </w:r>
      <w:r w:rsidR="00F41300" w:rsidRPr="0019750D">
        <w:rPr>
          <w:rFonts w:ascii="Times New Roman" w:hAnsi="Times New Roman" w:cstheme="minorHAnsi"/>
          <w:sz w:val="20"/>
          <w:szCs w:val="20"/>
        </w:rPr>
        <w:t>more than $750 billion in unfunded pension obligations</w:t>
      </w:r>
      <w:r w:rsidR="00C4441D" w:rsidRPr="0019750D">
        <w:rPr>
          <w:rFonts w:ascii="Times New Roman" w:hAnsi="Times New Roman" w:cstheme="minorHAnsi"/>
          <w:sz w:val="20"/>
          <w:szCs w:val="20"/>
        </w:rPr>
        <w:t xml:space="preserve">, states had </w:t>
      </w:r>
      <w:r w:rsidR="006333B3">
        <w:rPr>
          <w:rFonts w:ascii="Times New Roman" w:hAnsi="Times New Roman" w:cstheme="minorHAnsi"/>
          <w:sz w:val="20"/>
          <w:szCs w:val="20"/>
        </w:rPr>
        <w:t>more than</w:t>
      </w:r>
      <w:r w:rsidR="00F41300" w:rsidRPr="0019750D">
        <w:rPr>
          <w:rFonts w:ascii="Times New Roman" w:hAnsi="Times New Roman" w:cstheme="minorHAnsi"/>
          <w:sz w:val="20"/>
          <w:szCs w:val="20"/>
        </w:rPr>
        <w:t xml:space="preserve"> $625 billion unfunded heath care obligations, which make up the majority of OPEB promises</w:t>
      </w:r>
      <w:r w:rsidR="00F41300" w:rsidRPr="0019750D">
        <w:rPr>
          <w:rFonts w:ascii="Times New Roman" w:hAnsi="Times New Roman" w:cstheme="minorHAnsi"/>
          <w:i/>
          <w:sz w:val="20"/>
          <w:szCs w:val="20"/>
        </w:rPr>
        <w:t xml:space="preserve"> </w:t>
      </w:r>
      <w:r w:rsidR="00F41300" w:rsidRPr="0019750D">
        <w:rPr>
          <w:rFonts w:ascii="Times New Roman" w:hAnsi="Times New Roman" w:cstheme="minorHAnsi"/>
          <w:sz w:val="20"/>
          <w:szCs w:val="20"/>
        </w:rPr>
        <w:t xml:space="preserve">(Tysiac, </w:t>
      </w:r>
      <w:r w:rsidR="00C3689A" w:rsidRPr="0019750D">
        <w:rPr>
          <w:rFonts w:ascii="Times New Roman" w:hAnsi="Times New Roman" w:cstheme="minorHAnsi"/>
          <w:sz w:val="20"/>
          <w:szCs w:val="20"/>
        </w:rPr>
        <w:t>2014</w:t>
      </w:r>
      <w:r w:rsidR="00F41300" w:rsidRPr="0019750D">
        <w:rPr>
          <w:rFonts w:ascii="Times New Roman" w:hAnsi="Times New Roman" w:cstheme="minorHAnsi"/>
          <w:sz w:val="20"/>
          <w:szCs w:val="20"/>
        </w:rPr>
        <w:t>)</w:t>
      </w:r>
      <w:r w:rsidR="00F41300" w:rsidRPr="0019750D">
        <w:rPr>
          <w:rFonts w:ascii="Times New Roman" w:hAnsi="Times New Roman" w:cstheme="minorHAnsi"/>
          <w:i/>
          <w:sz w:val="20"/>
          <w:szCs w:val="20"/>
        </w:rPr>
        <w:t xml:space="preserve">.  </w:t>
      </w:r>
      <w:r w:rsidR="00F41300" w:rsidRPr="0019750D">
        <w:rPr>
          <w:rFonts w:ascii="Times New Roman" w:hAnsi="Times New Roman" w:cstheme="minorHAnsi"/>
          <w:sz w:val="20"/>
          <w:szCs w:val="20"/>
        </w:rPr>
        <w:t xml:space="preserve">Pew </w:t>
      </w:r>
      <w:r w:rsidR="00A95250" w:rsidRPr="0019750D">
        <w:rPr>
          <w:rFonts w:ascii="Times New Roman" w:hAnsi="Times New Roman" w:cstheme="minorHAnsi"/>
          <w:sz w:val="20"/>
          <w:szCs w:val="20"/>
        </w:rPr>
        <w:t xml:space="preserve">also </w:t>
      </w:r>
      <w:r w:rsidR="00F41300" w:rsidRPr="0019750D">
        <w:rPr>
          <w:rFonts w:ascii="Times New Roman" w:hAnsi="Times New Roman" w:cstheme="minorHAnsi"/>
          <w:sz w:val="20"/>
          <w:szCs w:val="20"/>
        </w:rPr>
        <w:t>studied the thirty largest municipalities and found that they had $225 billion in unfunded liabilities - $121 billion in pensions and $104 billion in retiree and other non-pension bene</w:t>
      </w:r>
      <w:r w:rsidR="00A337EE" w:rsidRPr="0019750D">
        <w:rPr>
          <w:rFonts w:ascii="Times New Roman" w:hAnsi="Times New Roman" w:cstheme="minorHAnsi"/>
          <w:sz w:val="20"/>
          <w:szCs w:val="20"/>
        </w:rPr>
        <w:t>fits (</w:t>
      </w:r>
      <w:r w:rsidR="00F41300" w:rsidRPr="0019750D">
        <w:rPr>
          <w:rFonts w:ascii="Times New Roman" w:hAnsi="Times New Roman" w:cstheme="minorHAnsi"/>
          <w:sz w:val="20"/>
          <w:szCs w:val="20"/>
        </w:rPr>
        <w:t>Gilroy</w:t>
      </w:r>
      <w:r w:rsidR="002C11EC">
        <w:rPr>
          <w:rFonts w:ascii="Times New Roman" w:hAnsi="Times New Roman" w:cstheme="minorHAnsi"/>
          <w:sz w:val="20"/>
          <w:szCs w:val="20"/>
        </w:rPr>
        <w:t>,</w:t>
      </w:r>
      <w:r w:rsidR="00A337EE" w:rsidRPr="0019750D">
        <w:rPr>
          <w:rFonts w:ascii="Times New Roman" w:hAnsi="Times New Roman" w:cstheme="minorHAnsi"/>
          <w:sz w:val="20"/>
          <w:szCs w:val="20"/>
        </w:rPr>
        <w:t xml:space="preserve"> </w:t>
      </w:r>
      <w:r w:rsidR="00F41300" w:rsidRPr="0019750D">
        <w:rPr>
          <w:rFonts w:ascii="Times New Roman" w:hAnsi="Times New Roman" w:cstheme="minorHAnsi"/>
          <w:sz w:val="20"/>
          <w:szCs w:val="20"/>
        </w:rPr>
        <w:t>2013</w:t>
      </w:r>
      <w:r w:rsidR="00402425" w:rsidRPr="0019750D">
        <w:rPr>
          <w:rFonts w:ascii="Times New Roman" w:hAnsi="Times New Roman" w:cstheme="minorHAnsi"/>
          <w:sz w:val="20"/>
          <w:szCs w:val="20"/>
        </w:rPr>
        <w:t>)</w:t>
      </w:r>
      <w:r w:rsidR="002C11EC">
        <w:rPr>
          <w:rFonts w:ascii="Times New Roman" w:hAnsi="Times New Roman" w:cstheme="minorHAnsi"/>
          <w:sz w:val="20"/>
          <w:szCs w:val="20"/>
        </w:rPr>
        <w:t>.</w:t>
      </w:r>
    </w:p>
    <w:p w:rsidR="007C2931" w:rsidRPr="0019750D" w:rsidRDefault="007C2931" w:rsidP="007C2931">
      <w:pPr>
        <w:spacing w:after="0" w:line="240" w:lineRule="auto"/>
        <w:ind w:firstLine="720"/>
        <w:jc w:val="both"/>
        <w:rPr>
          <w:rFonts w:ascii="Times New Roman" w:hAnsi="Times New Roman" w:cstheme="minorHAnsi"/>
          <w:sz w:val="20"/>
          <w:szCs w:val="20"/>
        </w:rPr>
      </w:pPr>
    </w:p>
    <w:p w:rsidR="00A95250" w:rsidRDefault="00A95250" w:rsidP="007C2931">
      <w:pPr>
        <w:spacing w:after="0" w:line="240" w:lineRule="auto"/>
        <w:ind w:firstLine="720"/>
        <w:jc w:val="both"/>
        <w:rPr>
          <w:rFonts w:ascii="Times New Roman" w:hAnsi="Times New Roman" w:cstheme="minorHAnsi"/>
          <w:sz w:val="20"/>
          <w:szCs w:val="20"/>
        </w:rPr>
      </w:pPr>
      <w:r w:rsidRPr="0019750D">
        <w:rPr>
          <w:rFonts w:ascii="Times New Roman" w:hAnsi="Times New Roman" w:cstheme="minorHAnsi"/>
          <w:sz w:val="20"/>
          <w:szCs w:val="20"/>
        </w:rPr>
        <w:t xml:space="preserve">David </w:t>
      </w:r>
      <w:r w:rsidR="00F41300" w:rsidRPr="0019750D">
        <w:rPr>
          <w:rFonts w:ascii="Times New Roman" w:hAnsi="Times New Roman" w:cstheme="minorHAnsi"/>
          <w:sz w:val="20"/>
          <w:szCs w:val="20"/>
        </w:rPr>
        <w:t>Vaudt</w:t>
      </w:r>
      <w:r w:rsidR="00362068">
        <w:rPr>
          <w:rFonts w:ascii="Times New Roman" w:hAnsi="Times New Roman" w:cstheme="minorHAnsi"/>
          <w:sz w:val="20"/>
          <w:szCs w:val="20"/>
        </w:rPr>
        <w:t xml:space="preserve"> </w:t>
      </w:r>
      <w:r w:rsidRPr="0019750D">
        <w:rPr>
          <w:rFonts w:ascii="Times New Roman" w:hAnsi="Times New Roman" w:cstheme="minorHAnsi"/>
          <w:sz w:val="20"/>
          <w:szCs w:val="20"/>
        </w:rPr>
        <w:t>stated,</w:t>
      </w:r>
      <w:r w:rsidR="00FC5DE3" w:rsidRPr="0019750D">
        <w:rPr>
          <w:rFonts w:ascii="Times New Roman" w:hAnsi="Times New Roman" w:cstheme="minorHAnsi"/>
          <w:sz w:val="20"/>
          <w:szCs w:val="20"/>
        </w:rPr>
        <w:t xml:space="preserve"> </w:t>
      </w:r>
      <w:r w:rsidR="00F41300" w:rsidRPr="0019750D">
        <w:rPr>
          <w:rFonts w:ascii="Times New Roman" w:hAnsi="Times New Roman" w:cstheme="minorHAnsi"/>
          <w:sz w:val="20"/>
          <w:szCs w:val="20"/>
        </w:rPr>
        <w:t>“It is vital, th</w:t>
      </w:r>
      <w:r w:rsidR="00E418B4">
        <w:rPr>
          <w:rFonts w:ascii="Times New Roman" w:hAnsi="Times New Roman" w:cstheme="minorHAnsi"/>
          <w:sz w:val="20"/>
          <w:szCs w:val="20"/>
        </w:rPr>
        <w:t>erefore, that taxpayers, policy</w:t>
      </w:r>
      <w:r w:rsidR="00F41300" w:rsidRPr="0019750D">
        <w:rPr>
          <w:rFonts w:ascii="Times New Roman" w:hAnsi="Times New Roman" w:cstheme="minorHAnsi"/>
          <w:sz w:val="20"/>
          <w:szCs w:val="20"/>
        </w:rPr>
        <w:t>makers, bond analysts, and others receive more and better information about these benefits so that they can better assess the financial obligations and annual costs related</w:t>
      </w:r>
      <w:r w:rsidR="002C11EC">
        <w:rPr>
          <w:rFonts w:ascii="Times New Roman" w:hAnsi="Times New Roman" w:cstheme="minorHAnsi"/>
          <w:sz w:val="20"/>
          <w:szCs w:val="20"/>
        </w:rPr>
        <w:t xml:space="preserve"> to the promise to provide OPEB</w:t>
      </w:r>
      <w:r w:rsidR="00F41300" w:rsidRPr="0019750D">
        <w:rPr>
          <w:rFonts w:ascii="Times New Roman" w:hAnsi="Times New Roman" w:cstheme="minorHAnsi"/>
          <w:sz w:val="20"/>
          <w:szCs w:val="20"/>
        </w:rPr>
        <w:t>”</w:t>
      </w:r>
      <w:r w:rsidR="00825630" w:rsidRPr="0019750D">
        <w:rPr>
          <w:rFonts w:ascii="Times New Roman" w:hAnsi="Times New Roman" w:cstheme="minorHAnsi"/>
          <w:sz w:val="20"/>
          <w:szCs w:val="20"/>
        </w:rPr>
        <w:t xml:space="preserve"> (GASB</w:t>
      </w:r>
      <w:r w:rsidR="002C11EC">
        <w:rPr>
          <w:rFonts w:ascii="Times New Roman" w:hAnsi="Times New Roman" w:cstheme="minorHAnsi"/>
          <w:sz w:val="20"/>
          <w:szCs w:val="20"/>
        </w:rPr>
        <w:t>,</w:t>
      </w:r>
      <w:r w:rsidR="00825630" w:rsidRPr="0019750D">
        <w:rPr>
          <w:rFonts w:ascii="Times New Roman" w:hAnsi="Times New Roman" w:cstheme="minorHAnsi"/>
          <w:sz w:val="20"/>
          <w:szCs w:val="20"/>
        </w:rPr>
        <w:t xml:space="preserve"> 201</w:t>
      </w:r>
      <w:r w:rsidR="00FC5DE3" w:rsidRPr="0019750D">
        <w:rPr>
          <w:rFonts w:ascii="Times New Roman" w:hAnsi="Times New Roman" w:cstheme="minorHAnsi"/>
          <w:sz w:val="20"/>
          <w:szCs w:val="20"/>
        </w:rPr>
        <w:t>4</w:t>
      </w:r>
      <w:r w:rsidR="002C11EC">
        <w:rPr>
          <w:rFonts w:ascii="Times New Roman" w:hAnsi="Times New Roman" w:cstheme="minorHAnsi"/>
          <w:sz w:val="20"/>
          <w:szCs w:val="20"/>
        </w:rPr>
        <w:t>. p. 1</w:t>
      </w:r>
      <w:r w:rsidR="00FC5DE3" w:rsidRPr="0019750D">
        <w:rPr>
          <w:rFonts w:ascii="Times New Roman" w:hAnsi="Times New Roman" w:cstheme="minorHAnsi"/>
          <w:sz w:val="20"/>
          <w:szCs w:val="20"/>
        </w:rPr>
        <w:t>)</w:t>
      </w:r>
      <w:r w:rsidR="002C11EC">
        <w:rPr>
          <w:rFonts w:ascii="Times New Roman" w:hAnsi="Times New Roman" w:cstheme="minorHAnsi"/>
          <w:sz w:val="20"/>
          <w:szCs w:val="20"/>
        </w:rPr>
        <w:t>.</w:t>
      </w:r>
      <w:r w:rsidR="00FC5DE3" w:rsidRPr="0019750D">
        <w:rPr>
          <w:rFonts w:ascii="Times New Roman" w:hAnsi="Times New Roman" w:cstheme="minorHAnsi"/>
          <w:i/>
          <w:sz w:val="20"/>
          <w:szCs w:val="20"/>
        </w:rPr>
        <w:t xml:space="preserve"> </w:t>
      </w:r>
      <w:r w:rsidR="00FC5DE3" w:rsidRPr="0019750D">
        <w:rPr>
          <w:rFonts w:ascii="Times New Roman" w:hAnsi="Times New Roman" w:cstheme="minorHAnsi"/>
          <w:sz w:val="20"/>
          <w:szCs w:val="20"/>
        </w:rPr>
        <w:t xml:space="preserve"> </w:t>
      </w:r>
      <w:r w:rsidRPr="0019750D">
        <w:rPr>
          <w:rFonts w:ascii="Times New Roman" w:hAnsi="Times New Roman" w:cstheme="minorHAnsi"/>
          <w:sz w:val="20"/>
          <w:szCs w:val="20"/>
        </w:rPr>
        <w:t>As a result, in May 2014</w:t>
      </w:r>
      <w:r w:rsidR="00825630" w:rsidRPr="0019750D">
        <w:rPr>
          <w:rFonts w:ascii="Times New Roman" w:hAnsi="Times New Roman" w:cstheme="minorHAnsi"/>
          <w:sz w:val="20"/>
          <w:szCs w:val="20"/>
        </w:rPr>
        <w:t>,</w:t>
      </w:r>
      <w:r w:rsidRPr="0019750D">
        <w:rPr>
          <w:rFonts w:ascii="Times New Roman" w:hAnsi="Times New Roman" w:cstheme="minorHAnsi"/>
          <w:sz w:val="20"/>
          <w:szCs w:val="20"/>
        </w:rPr>
        <w:t xml:space="preserve"> GASB issued t</w:t>
      </w:r>
      <w:r w:rsidR="00F41300" w:rsidRPr="0019750D">
        <w:rPr>
          <w:rFonts w:ascii="Times New Roman" w:hAnsi="Times New Roman" w:cstheme="minorHAnsi"/>
          <w:sz w:val="20"/>
          <w:szCs w:val="20"/>
        </w:rPr>
        <w:t>wo</w:t>
      </w:r>
      <w:r w:rsidR="00CC0A4C">
        <w:rPr>
          <w:rFonts w:ascii="Times New Roman" w:hAnsi="Times New Roman" w:cstheme="minorHAnsi"/>
          <w:sz w:val="20"/>
          <w:szCs w:val="20"/>
        </w:rPr>
        <w:t xml:space="preserve"> new Exposure Drafts.   The</w:t>
      </w:r>
      <w:r w:rsidR="00A424AB">
        <w:rPr>
          <w:rFonts w:ascii="Times New Roman" w:hAnsi="Times New Roman" w:cstheme="minorHAnsi"/>
          <w:sz w:val="20"/>
          <w:szCs w:val="20"/>
        </w:rPr>
        <w:t>se</w:t>
      </w:r>
      <w:r w:rsidR="00CC0A4C">
        <w:rPr>
          <w:rFonts w:ascii="Times New Roman" w:hAnsi="Times New Roman" w:cstheme="minorHAnsi"/>
          <w:sz w:val="20"/>
          <w:szCs w:val="20"/>
        </w:rPr>
        <w:t xml:space="preserve"> D</w:t>
      </w:r>
      <w:r w:rsidRPr="0019750D">
        <w:rPr>
          <w:rFonts w:ascii="Times New Roman" w:hAnsi="Times New Roman" w:cstheme="minorHAnsi"/>
          <w:sz w:val="20"/>
          <w:szCs w:val="20"/>
        </w:rPr>
        <w:t>raft</w:t>
      </w:r>
      <w:r w:rsidR="00825630" w:rsidRPr="0019750D">
        <w:rPr>
          <w:rFonts w:ascii="Times New Roman" w:hAnsi="Times New Roman" w:cstheme="minorHAnsi"/>
          <w:sz w:val="20"/>
          <w:szCs w:val="20"/>
        </w:rPr>
        <w:t>s are</w:t>
      </w:r>
      <w:r w:rsidR="00415DDE" w:rsidRPr="0019750D">
        <w:rPr>
          <w:rFonts w:ascii="Times New Roman" w:hAnsi="Times New Roman" w:cstheme="minorHAnsi"/>
          <w:sz w:val="20"/>
          <w:szCs w:val="20"/>
        </w:rPr>
        <w:t xml:space="preserve"> the first step in approving</w:t>
      </w:r>
      <w:r w:rsidRPr="0019750D">
        <w:rPr>
          <w:rFonts w:ascii="Times New Roman" w:hAnsi="Times New Roman" w:cstheme="minorHAnsi"/>
          <w:sz w:val="20"/>
          <w:szCs w:val="20"/>
        </w:rPr>
        <w:t xml:space="preserve"> new accounting standards</w:t>
      </w:r>
      <w:r w:rsidR="00F41300" w:rsidRPr="0019750D">
        <w:rPr>
          <w:rFonts w:ascii="Times New Roman" w:hAnsi="Times New Roman" w:cstheme="minorHAnsi"/>
          <w:sz w:val="20"/>
          <w:szCs w:val="20"/>
        </w:rPr>
        <w:t xml:space="preserve"> aim</w:t>
      </w:r>
      <w:r w:rsidRPr="0019750D">
        <w:rPr>
          <w:rFonts w:ascii="Times New Roman" w:hAnsi="Times New Roman" w:cstheme="minorHAnsi"/>
          <w:sz w:val="20"/>
          <w:szCs w:val="20"/>
        </w:rPr>
        <w:t xml:space="preserve">ed to improve the current ones </w:t>
      </w:r>
      <w:r w:rsidR="00F41300" w:rsidRPr="0019750D">
        <w:rPr>
          <w:rFonts w:ascii="Times New Roman" w:hAnsi="Times New Roman" w:cstheme="minorHAnsi"/>
          <w:sz w:val="20"/>
          <w:szCs w:val="20"/>
        </w:rPr>
        <w:t xml:space="preserve">relating to financial reporting of OPEB by </w:t>
      </w:r>
      <w:r w:rsidRPr="0019750D">
        <w:rPr>
          <w:rFonts w:ascii="Times New Roman" w:hAnsi="Times New Roman" w:cstheme="minorHAnsi"/>
          <w:sz w:val="20"/>
          <w:szCs w:val="20"/>
        </w:rPr>
        <w:t>state and local governments.</w:t>
      </w:r>
    </w:p>
    <w:p w:rsidR="007C2931" w:rsidRPr="0019750D" w:rsidRDefault="007C2931" w:rsidP="007C2931">
      <w:pPr>
        <w:spacing w:after="0" w:line="240" w:lineRule="auto"/>
        <w:ind w:firstLine="720"/>
        <w:jc w:val="both"/>
        <w:rPr>
          <w:rFonts w:ascii="Times New Roman" w:hAnsi="Times New Roman" w:cstheme="minorHAnsi"/>
          <w:sz w:val="20"/>
          <w:szCs w:val="20"/>
        </w:rPr>
      </w:pPr>
    </w:p>
    <w:p w:rsidR="00F41300" w:rsidRDefault="00F41300" w:rsidP="007C2931">
      <w:pPr>
        <w:spacing w:after="0" w:line="240" w:lineRule="auto"/>
        <w:ind w:firstLine="720"/>
        <w:jc w:val="both"/>
        <w:rPr>
          <w:rFonts w:ascii="Times New Roman" w:hAnsi="Times New Roman" w:cstheme="minorHAnsi"/>
          <w:sz w:val="20"/>
          <w:szCs w:val="20"/>
        </w:rPr>
      </w:pPr>
      <w:r w:rsidRPr="0019750D">
        <w:rPr>
          <w:rFonts w:ascii="Times New Roman" w:hAnsi="Times New Roman" w:cstheme="minorHAnsi"/>
          <w:sz w:val="20"/>
          <w:szCs w:val="20"/>
        </w:rPr>
        <w:t xml:space="preserve">The first Exposure Draft, </w:t>
      </w:r>
      <w:r w:rsidRPr="0019750D">
        <w:rPr>
          <w:rFonts w:ascii="Times New Roman" w:hAnsi="Times New Roman" w:cstheme="minorHAnsi"/>
          <w:i/>
          <w:iCs/>
          <w:sz w:val="20"/>
          <w:szCs w:val="20"/>
        </w:rPr>
        <w:t>Accounting and Financial Reporting for Postemployment Benefits Other Than Pensions</w:t>
      </w:r>
      <w:r w:rsidRPr="0019750D">
        <w:rPr>
          <w:rFonts w:ascii="Times New Roman" w:hAnsi="Times New Roman" w:cstheme="minorHAnsi"/>
          <w:sz w:val="20"/>
          <w:szCs w:val="20"/>
        </w:rPr>
        <w:t xml:space="preserve"> (OPEB Employer Exposure Draft), proposes guidance for reporting by governments that provide OPEB to their employees and for governments that finance OPEB for employees of other governments. The second Exposure Draft related to OPEB, </w:t>
      </w:r>
      <w:r w:rsidRPr="0019750D">
        <w:rPr>
          <w:rFonts w:ascii="Times New Roman" w:hAnsi="Times New Roman" w:cstheme="minorHAnsi"/>
          <w:i/>
          <w:iCs/>
          <w:sz w:val="20"/>
          <w:szCs w:val="20"/>
        </w:rPr>
        <w:t xml:space="preserve">Financial Reporting for Postemployment Benefit Plans Other Than Pension Plans </w:t>
      </w:r>
      <w:r w:rsidRPr="0019750D">
        <w:rPr>
          <w:rFonts w:ascii="Times New Roman" w:hAnsi="Times New Roman" w:cstheme="minorHAnsi"/>
          <w:sz w:val="20"/>
          <w:szCs w:val="20"/>
        </w:rPr>
        <w:t>(OPEB Plan Exposure Draft), addresses the reporting by the OPEB plans that administer those benefits. Stakeholders were asked to provide their comments in late August 2014, and GASB wi</w:t>
      </w:r>
      <w:r w:rsidR="007B0F27">
        <w:rPr>
          <w:rFonts w:ascii="Times New Roman" w:hAnsi="Times New Roman" w:cstheme="minorHAnsi"/>
          <w:sz w:val="20"/>
          <w:szCs w:val="20"/>
        </w:rPr>
        <w:t>ll host public hearings on the Exposure D</w:t>
      </w:r>
      <w:r w:rsidRPr="0019750D">
        <w:rPr>
          <w:rFonts w:ascii="Times New Roman" w:hAnsi="Times New Roman" w:cstheme="minorHAnsi"/>
          <w:sz w:val="20"/>
          <w:szCs w:val="20"/>
        </w:rPr>
        <w:t>rafts in September 2014.  New OP</w:t>
      </w:r>
      <w:r w:rsidR="00A337EE" w:rsidRPr="0019750D">
        <w:rPr>
          <w:rFonts w:ascii="Times New Roman" w:hAnsi="Times New Roman" w:cstheme="minorHAnsi"/>
          <w:sz w:val="20"/>
          <w:szCs w:val="20"/>
        </w:rPr>
        <w:t>E</w:t>
      </w:r>
      <w:r w:rsidRPr="0019750D">
        <w:rPr>
          <w:rFonts w:ascii="Times New Roman" w:hAnsi="Times New Roman" w:cstheme="minorHAnsi"/>
          <w:sz w:val="20"/>
          <w:szCs w:val="20"/>
        </w:rPr>
        <w:t xml:space="preserve">B </w:t>
      </w:r>
      <w:r w:rsidR="00A95250" w:rsidRPr="0019750D">
        <w:rPr>
          <w:rFonts w:ascii="Times New Roman" w:hAnsi="Times New Roman" w:cstheme="minorHAnsi"/>
          <w:sz w:val="20"/>
          <w:szCs w:val="20"/>
        </w:rPr>
        <w:t xml:space="preserve">accounting </w:t>
      </w:r>
      <w:r w:rsidRPr="0019750D">
        <w:rPr>
          <w:rFonts w:ascii="Times New Roman" w:hAnsi="Times New Roman" w:cstheme="minorHAnsi"/>
          <w:sz w:val="20"/>
          <w:szCs w:val="20"/>
        </w:rPr>
        <w:t xml:space="preserve">standards will </w:t>
      </w:r>
      <w:r w:rsidR="00825630" w:rsidRPr="0019750D">
        <w:rPr>
          <w:rFonts w:ascii="Times New Roman" w:hAnsi="Times New Roman" w:cstheme="minorHAnsi"/>
          <w:sz w:val="20"/>
          <w:szCs w:val="20"/>
        </w:rPr>
        <w:t xml:space="preserve">be approved and </w:t>
      </w:r>
      <w:r w:rsidRPr="0019750D">
        <w:rPr>
          <w:rFonts w:ascii="Times New Roman" w:hAnsi="Times New Roman" w:cstheme="minorHAnsi"/>
          <w:sz w:val="20"/>
          <w:szCs w:val="20"/>
        </w:rPr>
        <w:t>become effective in the fiscal year be</w:t>
      </w:r>
      <w:r w:rsidR="00362068">
        <w:rPr>
          <w:rFonts w:ascii="Times New Roman" w:hAnsi="Times New Roman" w:cstheme="minorHAnsi"/>
          <w:sz w:val="20"/>
          <w:szCs w:val="20"/>
        </w:rPr>
        <w:t xml:space="preserve">ginning December 15, </w:t>
      </w:r>
      <w:r w:rsidR="00CC0A4C">
        <w:rPr>
          <w:rFonts w:ascii="Times New Roman" w:hAnsi="Times New Roman" w:cstheme="minorHAnsi"/>
          <w:sz w:val="20"/>
          <w:szCs w:val="20"/>
        </w:rPr>
        <w:t>2015 for plan requirements and December 15, 2016 for employer requirements</w:t>
      </w:r>
      <w:r w:rsidR="00362068">
        <w:rPr>
          <w:rFonts w:ascii="Times New Roman" w:hAnsi="Times New Roman" w:cstheme="minorHAnsi"/>
          <w:sz w:val="20"/>
          <w:szCs w:val="20"/>
        </w:rPr>
        <w:t xml:space="preserve">.  David </w:t>
      </w:r>
      <w:r w:rsidRPr="0019750D">
        <w:rPr>
          <w:rFonts w:ascii="Times New Roman" w:hAnsi="Times New Roman" w:cstheme="minorHAnsi"/>
          <w:sz w:val="20"/>
          <w:szCs w:val="20"/>
        </w:rPr>
        <w:t xml:space="preserve">Vaudt stated, </w:t>
      </w:r>
      <w:r w:rsidRPr="0019750D">
        <w:rPr>
          <w:rFonts w:ascii="Times New Roman" w:hAnsi="Times New Roman" w:cstheme="minorHAnsi"/>
          <w:sz w:val="20"/>
          <w:szCs w:val="20"/>
        </w:rPr>
        <w:lastRenderedPageBreak/>
        <w:t xml:space="preserve">“These proposed standards will usher in for OPEB the same fundamental improvements in accounting and financial reporting approved by the Board in 2012 </w:t>
      </w:r>
      <w:r w:rsidR="002C11EC">
        <w:rPr>
          <w:rFonts w:ascii="Times New Roman" w:hAnsi="Times New Roman" w:cstheme="minorHAnsi"/>
          <w:sz w:val="20"/>
          <w:szCs w:val="20"/>
        </w:rPr>
        <w:t>for pensions</w:t>
      </w:r>
      <w:r w:rsidRPr="0019750D">
        <w:rPr>
          <w:rFonts w:ascii="Times New Roman" w:hAnsi="Times New Roman" w:cstheme="minorHAnsi"/>
          <w:sz w:val="20"/>
          <w:szCs w:val="20"/>
        </w:rPr>
        <w:t xml:space="preserve">” </w:t>
      </w:r>
      <w:r w:rsidR="00A337EE" w:rsidRPr="0019750D">
        <w:rPr>
          <w:rFonts w:ascii="Times New Roman" w:hAnsi="Times New Roman" w:cstheme="minorHAnsi"/>
          <w:sz w:val="20"/>
          <w:szCs w:val="20"/>
        </w:rPr>
        <w:t>(GASB</w:t>
      </w:r>
      <w:r w:rsidR="002C11EC">
        <w:rPr>
          <w:rFonts w:ascii="Times New Roman" w:hAnsi="Times New Roman" w:cstheme="minorHAnsi"/>
          <w:sz w:val="20"/>
          <w:szCs w:val="20"/>
        </w:rPr>
        <w:t>,</w:t>
      </w:r>
      <w:r w:rsidRPr="0019750D">
        <w:rPr>
          <w:rFonts w:ascii="Times New Roman" w:hAnsi="Times New Roman" w:cstheme="minorHAnsi"/>
          <w:sz w:val="20"/>
          <w:szCs w:val="20"/>
        </w:rPr>
        <w:t xml:space="preserve"> 2014</w:t>
      </w:r>
      <w:r w:rsidR="00775F96">
        <w:rPr>
          <w:rFonts w:ascii="Times New Roman" w:hAnsi="Times New Roman" w:cstheme="minorHAnsi"/>
          <w:sz w:val="20"/>
          <w:szCs w:val="20"/>
        </w:rPr>
        <w:t>,</w:t>
      </w:r>
      <w:r w:rsidR="002C11EC">
        <w:rPr>
          <w:rFonts w:ascii="Times New Roman" w:hAnsi="Times New Roman" w:cstheme="minorHAnsi"/>
          <w:sz w:val="20"/>
          <w:szCs w:val="20"/>
        </w:rPr>
        <w:t xml:space="preserve"> p</w:t>
      </w:r>
      <w:r w:rsidR="007B0F27">
        <w:rPr>
          <w:rFonts w:ascii="Times New Roman" w:hAnsi="Times New Roman" w:cstheme="minorHAnsi"/>
          <w:sz w:val="20"/>
          <w:szCs w:val="20"/>
        </w:rPr>
        <w:t>. 1</w:t>
      </w:r>
      <w:r w:rsidR="00A337EE" w:rsidRPr="0019750D">
        <w:rPr>
          <w:rFonts w:ascii="Times New Roman" w:hAnsi="Times New Roman" w:cstheme="minorHAnsi"/>
          <w:sz w:val="20"/>
          <w:szCs w:val="20"/>
        </w:rPr>
        <w:t>)</w:t>
      </w:r>
      <w:r w:rsidR="002C11EC">
        <w:rPr>
          <w:rFonts w:ascii="Times New Roman" w:hAnsi="Times New Roman" w:cstheme="minorHAnsi"/>
          <w:sz w:val="20"/>
          <w:szCs w:val="20"/>
        </w:rPr>
        <w:t>.</w:t>
      </w:r>
    </w:p>
    <w:p w:rsidR="007C2931" w:rsidRPr="0019750D" w:rsidRDefault="007C2931" w:rsidP="007C2931">
      <w:pPr>
        <w:spacing w:after="0" w:line="240" w:lineRule="auto"/>
        <w:ind w:firstLine="720"/>
        <w:jc w:val="both"/>
        <w:rPr>
          <w:rFonts w:ascii="Times New Roman" w:hAnsi="Times New Roman" w:cstheme="minorHAnsi"/>
          <w:sz w:val="20"/>
          <w:szCs w:val="20"/>
        </w:rPr>
      </w:pPr>
    </w:p>
    <w:p w:rsidR="00C3686C" w:rsidRDefault="00C3686C" w:rsidP="007C2931">
      <w:pPr>
        <w:spacing w:after="0" w:line="240" w:lineRule="auto"/>
        <w:ind w:firstLine="720"/>
        <w:jc w:val="both"/>
        <w:rPr>
          <w:rFonts w:ascii="Times New Roman" w:hAnsi="Times New Roman" w:cstheme="minorHAnsi"/>
          <w:sz w:val="20"/>
          <w:szCs w:val="20"/>
        </w:rPr>
      </w:pPr>
      <w:r w:rsidRPr="0019750D">
        <w:rPr>
          <w:rFonts w:ascii="Times New Roman" w:eastAsia="Times New Roman" w:hAnsi="Times New Roman" w:cs="Times New Roman"/>
          <w:color w:val="000000"/>
          <w:sz w:val="20"/>
          <w:szCs w:val="20"/>
        </w:rPr>
        <w:t>The purpose of this paper is to shed light on past and current reporting as we</w:t>
      </w:r>
      <w:r w:rsidR="00FC0C39">
        <w:rPr>
          <w:rFonts w:ascii="Times New Roman" w:eastAsia="Times New Roman" w:hAnsi="Times New Roman" w:cs="Times New Roman"/>
          <w:color w:val="000000"/>
          <w:sz w:val="20"/>
          <w:szCs w:val="20"/>
        </w:rPr>
        <w:t xml:space="preserve">ll as how significantly </w:t>
      </w:r>
      <w:r w:rsidRPr="0019750D">
        <w:rPr>
          <w:rFonts w:ascii="Times New Roman" w:eastAsia="Times New Roman" w:hAnsi="Times New Roman" w:cs="Times New Roman"/>
          <w:color w:val="000000"/>
          <w:sz w:val="20"/>
          <w:szCs w:val="20"/>
        </w:rPr>
        <w:t>government</w:t>
      </w:r>
      <w:r w:rsidR="002C11EC">
        <w:rPr>
          <w:rFonts w:ascii="Times New Roman" w:eastAsia="Times New Roman" w:hAnsi="Times New Roman" w:cs="Times New Roman"/>
          <w:color w:val="000000"/>
          <w:sz w:val="20"/>
          <w:szCs w:val="20"/>
        </w:rPr>
        <w:t>al</w:t>
      </w:r>
      <w:r w:rsidRPr="0019750D">
        <w:rPr>
          <w:rFonts w:ascii="Times New Roman" w:eastAsia="Times New Roman" w:hAnsi="Times New Roman" w:cs="Times New Roman"/>
          <w:color w:val="000000"/>
          <w:sz w:val="20"/>
          <w:szCs w:val="20"/>
        </w:rPr>
        <w:t xml:space="preserve"> accounting will change </w:t>
      </w:r>
      <w:r w:rsidR="00FC0C39">
        <w:rPr>
          <w:rFonts w:ascii="Times New Roman" w:eastAsia="Times New Roman" w:hAnsi="Times New Roman" w:cs="Times New Roman"/>
          <w:color w:val="000000"/>
          <w:sz w:val="20"/>
          <w:szCs w:val="20"/>
        </w:rPr>
        <w:t xml:space="preserve">the way </w:t>
      </w:r>
      <w:r w:rsidRPr="0019750D">
        <w:rPr>
          <w:rFonts w:ascii="Times New Roman" w:eastAsia="Times New Roman" w:hAnsi="Times New Roman" w:cs="Times New Roman"/>
          <w:color w:val="000000"/>
          <w:sz w:val="20"/>
          <w:szCs w:val="20"/>
        </w:rPr>
        <w:t>government</w:t>
      </w:r>
      <w:r w:rsidR="00FC0C39">
        <w:rPr>
          <w:rFonts w:ascii="Times New Roman" w:eastAsia="Times New Roman" w:hAnsi="Times New Roman" w:cs="Times New Roman"/>
          <w:color w:val="000000"/>
          <w:sz w:val="20"/>
          <w:szCs w:val="20"/>
        </w:rPr>
        <w:t xml:space="preserve">s report </w:t>
      </w:r>
      <w:r w:rsidRPr="0019750D">
        <w:rPr>
          <w:rFonts w:ascii="Times New Roman" w:eastAsia="Times New Roman" w:hAnsi="Times New Roman" w:cs="Times New Roman"/>
          <w:color w:val="000000"/>
          <w:sz w:val="20"/>
          <w:szCs w:val="20"/>
        </w:rPr>
        <w:t xml:space="preserve">OPEB liabilities in the future </w:t>
      </w:r>
      <w:r w:rsidRPr="0019750D">
        <w:rPr>
          <w:rFonts w:ascii="Times New Roman" w:hAnsi="Times New Roman" w:cstheme="minorHAnsi"/>
          <w:sz w:val="20"/>
          <w:szCs w:val="20"/>
        </w:rPr>
        <w:t>through a compreh</w:t>
      </w:r>
      <w:r w:rsidR="00362068">
        <w:rPr>
          <w:rFonts w:ascii="Times New Roman" w:hAnsi="Times New Roman" w:cstheme="minorHAnsi"/>
          <w:sz w:val="20"/>
          <w:szCs w:val="20"/>
        </w:rPr>
        <w:t>ensive review of 12</w:t>
      </w:r>
      <w:r w:rsidRPr="0019750D">
        <w:rPr>
          <w:rFonts w:ascii="Times New Roman" w:hAnsi="Times New Roman" w:cstheme="minorHAnsi"/>
          <w:sz w:val="20"/>
          <w:szCs w:val="20"/>
        </w:rPr>
        <w:t xml:space="preserve"> U</w:t>
      </w:r>
      <w:r w:rsidR="00A424AB">
        <w:rPr>
          <w:rFonts w:ascii="Times New Roman" w:hAnsi="Times New Roman" w:cstheme="minorHAnsi"/>
          <w:sz w:val="20"/>
          <w:szCs w:val="20"/>
        </w:rPr>
        <w:t>.</w:t>
      </w:r>
      <w:r w:rsidRPr="0019750D">
        <w:rPr>
          <w:rFonts w:ascii="Times New Roman" w:hAnsi="Times New Roman" w:cstheme="minorHAnsi"/>
          <w:sz w:val="20"/>
          <w:szCs w:val="20"/>
        </w:rPr>
        <w:t>S</w:t>
      </w:r>
      <w:r w:rsidR="00A424AB">
        <w:rPr>
          <w:rFonts w:ascii="Times New Roman" w:hAnsi="Times New Roman" w:cstheme="minorHAnsi"/>
          <w:sz w:val="20"/>
          <w:szCs w:val="20"/>
        </w:rPr>
        <w:t>.</w:t>
      </w:r>
      <w:r w:rsidRPr="0019750D">
        <w:rPr>
          <w:rFonts w:ascii="Times New Roman" w:hAnsi="Times New Roman" w:cstheme="minorHAnsi"/>
          <w:sz w:val="20"/>
          <w:szCs w:val="20"/>
        </w:rPr>
        <w:t xml:space="preserve"> </w:t>
      </w:r>
      <w:r w:rsidRPr="0019750D">
        <w:rPr>
          <w:rFonts w:ascii="Times New Roman" w:eastAsia="Times New Roman" w:hAnsi="Times New Roman" w:cs="Times New Roman"/>
          <w:color w:val="000000"/>
          <w:sz w:val="20"/>
          <w:szCs w:val="20"/>
        </w:rPr>
        <w:t xml:space="preserve">counties’ reporting of OPEB obligations and unfunded liabilities from 2006 to 2013.  </w:t>
      </w:r>
      <w:r w:rsidR="00471521" w:rsidRPr="0019750D">
        <w:rPr>
          <w:rFonts w:ascii="Times New Roman" w:hAnsi="Times New Roman" w:cstheme="minorHAnsi"/>
          <w:sz w:val="20"/>
          <w:szCs w:val="20"/>
        </w:rPr>
        <w:t>This paper analyzes the stages of OPEB reporting from Pay-as-You-Go, to recognition of incremental net OPEB obligation</w:t>
      </w:r>
      <w:r w:rsidR="00FC0C39">
        <w:rPr>
          <w:rFonts w:ascii="Times New Roman" w:hAnsi="Times New Roman" w:cstheme="minorHAnsi"/>
          <w:sz w:val="20"/>
          <w:szCs w:val="20"/>
        </w:rPr>
        <w:t>s</w:t>
      </w:r>
      <w:r w:rsidR="008E68C3" w:rsidRPr="0019750D">
        <w:rPr>
          <w:rFonts w:ascii="Times New Roman" w:hAnsi="Times New Roman" w:cstheme="minorHAnsi"/>
          <w:sz w:val="20"/>
          <w:szCs w:val="20"/>
        </w:rPr>
        <w:t>,</w:t>
      </w:r>
      <w:r w:rsidR="00471521" w:rsidRPr="0019750D">
        <w:rPr>
          <w:rFonts w:ascii="Times New Roman" w:hAnsi="Times New Roman" w:cstheme="minorHAnsi"/>
          <w:sz w:val="20"/>
          <w:szCs w:val="20"/>
        </w:rPr>
        <w:t xml:space="preserve"> to requiring essentially all unfund</w:t>
      </w:r>
      <w:r w:rsidR="00FC0C39">
        <w:rPr>
          <w:rFonts w:ascii="Times New Roman" w:hAnsi="Times New Roman" w:cstheme="minorHAnsi"/>
          <w:sz w:val="20"/>
          <w:szCs w:val="20"/>
        </w:rPr>
        <w:t>ed actuarially accrued liabilities</w:t>
      </w:r>
      <w:r w:rsidR="00471521" w:rsidRPr="0019750D">
        <w:rPr>
          <w:rFonts w:ascii="Times New Roman" w:hAnsi="Times New Roman" w:cstheme="minorHAnsi"/>
          <w:sz w:val="20"/>
          <w:szCs w:val="20"/>
        </w:rPr>
        <w:t xml:space="preserve"> to </w:t>
      </w:r>
      <w:r w:rsidR="00362068">
        <w:rPr>
          <w:rFonts w:ascii="Times New Roman" w:hAnsi="Times New Roman" w:cstheme="minorHAnsi"/>
          <w:sz w:val="20"/>
          <w:szCs w:val="20"/>
        </w:rPr>
        <w:t>be recognized on governmental</w:t>
      </w:r>
      <w:r w:rsidR="00471521" w:rsidRPr="0019750D">
        <w:rPr>
          <w:rFonts w:ascii="Times New Roman" w:hAnsi="Times New Roman" w:cstheme="minorHAnsi"/>
          <w:sz w:val="20"/>
          <w:szCs w:val="20"/>
        </w:rPr>
        <w:t xml:space="preserve"> financi</w:t>
      </w:r>
      <w:r w:rsidR="008E68C3" w:rsidRPr="0019750D">
        <w:rPr>
          <w:rFonts w:ascii="Times New Roman" w:hAnsi="Times New Roman" w:cstheme="minorHAnsi"/>
          <w:sz w:val="20"/>
          <w:szCs w:val="20"/>
        </w:rPr>
        <w:t xml:space="preserve">al statements. </w:t>
      </w:r>
    </w:p>
    <w:p w:rsidR="007C2931" w:rsidRPr="0019750D" w:rsidRDefault="007C2931" w:rsidP="007C2931">
      <w:pPr>
        <w:spacing w:after="0" w:line="240" w:lineRule="auto"/>
        <w:ind w:firstLine="720"/>
        <w:jc w:val="both"/>
        <w:rPr>
          <w:rFonts w:ascii="Times New Roman" w:hAnsi="Times New Roman" w:cstheme="minorHAnsi"/>
          <w:sz w:val="20"/>
          <w:szCs w:val="20"/>
        </w:rPr>
      </w:pPr>
    </w:p>
    <w:p w:rsidR="007C2931" w:rsidRDefault="00C3686C" w:rsidP="007C2931">
      <w:pPr>
        <w:spacing w:after="0" w:line="240" w:lineRule="auto"/>
        <w:ind w:firstLine="720"/>
        <w:jc w:val="both"/>
        <w:rPr>
          <w:rFonts w:ascii="Times New Roman" w:eastAsia="Times New Roman" w:hAnsi="Times New Roman" w:cs="Times New Roman"/>
          <w:color w:val="000000"/>
          <w:sz w:val="20"/>
          <w:szCs w:val="20"/>
        </w:rPr>
      </w:pPr>
      <w:r w:rsidRPr="0019750D">
        <w:rPr>
          <w:rFonts w:ascii="Times New Roman" w:eastAsia="Times New Roman" w:hAnsi="Times New Roman" w:cs="Times New Roman"/>
          <w:color w:val="000000"/>
          <w:sz w:val="20"/>
          <w:szCs w:val="20"/>
        </w:rPr>
        <w:t>Two o</w:t>
      </w:r>
      <w:r w:rsidR="0000130D" w:rsidRPr="0019750D">
        <w:rPr>
          <w:rFonts w:ascii="Times New Roman" w:eastAsia="Times New Roman" w:hAnsi="Times New Roman" w:cs="Times New Roman"/>
          <w:color w:val="000000"/>
          <w:sz w:val="20"/>
          <w:szCs w:val="20"/>
        </w:rPr>
        <w:t>bjective</w:t>
      </w:r>
      <w:r w:rsidR="00825630" w:rsidRPr="0019750D">
        <w:rPr>
          <w:rFonts w:ascii="Times New Roman" w:eastAsia="Times New Roman" w:hAnsi="Times New Roman" w:cs="Times New Roman"/>
          <w:color w:val="000000"/>
          <w:sz w:val="20"/>
          <w:szCs w:val="20"/>
        </w:rPr>
        <w:t>s</w:t>
      </w:r>
      <w:r w:rsidR="008E68C3" w:rsidRPr="0019750D">
        <w:rPr>
          <w:rFonts w:ascii="Times New Roman" w:eastAsia="Times New Roman" w:hAnsi="Times New Roman" w:cs="Times New Roman"/>
          <w:color w:val="000000"/>
          <w:sz w:val="20"/>
          <w:szCs w:val="20"/>
        </w:rPr>
        <w:t xml:space="preserve"> </w:t>
      </w:r>
      <w:r w:rsidRPr="0019750D">
        <w:rPr>
          <w:rFonts w:ascii="Times New Roman" w:eastAsia="Times New Roman" w:hAnsi="Times New Roman" w:cs="Times New Roman"/>
          <w:color w:val="000000"/>
          <w:sz w:val="20"/>
          <w:szCs w:val="20"/>
        </w:rPr>
        <w:t xml:space="preserve">of the </w:t>
      </w:r>
      <w:r w:rsidR="008E68C3" w:rsidRPr="0019750D">
        <w:rPr>
          <w:rFonts w:ascii="Times New Roman" w:eastAsia="Times New Roman" w:hAnsi="Times New Roman" w:cs="Times New Roman"/>
          <w:color w:val="000000"/>
          <w:sz w:val="20"/>
          <w:szCs w:val="20"/>
        </w:rPr>
        <w:t>new GASB Exposure Drafts</w:t>
      </w:r>
      <w:r w:rsidR="0000130D" w:rsidRPr="0019750D">
        <w:rPr>
          <w:rFonts w:ascii="Times New Roman" w:eastAsia="Times New Roman" w:hAnsi="Times New Roman" w:cs="Times New Roman"/>
          <w:color w:val="000000"/>
          <w:sz w:val="20"/>
          <w:szCs w:val="20"/>
        </w:rPr>
        <w:t xml:space="preserve"> include improving </w:t>
      </w:r>
      <w:r w:rsidR="00471521" w:rsidRPr="0019750D">
        <w:rPr>
          <w:rFonts w:ascii="Times New Roman" w:eastAsia="Times New Roman" w:hAnsi="Times New Roman" w:cs="Times New Roman"/>
          <w:color w:val="000000"/>
          <w:sz w:val="20"/>
          <w:szCs w:val="20"/>
        </w:rPr>
        <w:t>compara</w:t>
      </w:r>
      <w:r w:rsidRPr="0019750D">
        <w:rPr>
          <w:rFonts w:ascii="Times New Roman" w:eastAsia="Times New Roman" w:hAnsi="Times New Roman" w:cs="Times New Roman"/>
          <w:color w:val="000000"/>
          <w:sz w:val="20"/>
          <w:szCs w:val="20"/>
        </w:rPr>
        <w:t xml:space="preserve">bility </w:t>
      </w:r>
      <w:r w:rsidR="0000130D" w:rsidRPr="0019750D">
        <w:rPr>
          <w:rFonts w:ascii="Times New Roman" w:eastAsia="Times New Roman" w:hAnsi="Times New Roman" w:cs="Times New Roman"/>
          <w:color w:val="000000"/>
          <w:sz w:val="20"/>
          <w:szCs w:val="20"/>
        </w:rPr>
        <w:t>and transparency.</w:t>
      </w:r>
      <w:r w:rsidR="008E68C3" w:rsidRPr="0019750D">
        <w:rPr>
          <w:rFonts w:ascii="Times New Roman" w:eastAsia="Times New Roman" w:hAnsi="Times New Roman" w:cs="Times New Roman"/>
          <w:color w:val="000000"/>
          <w:sz w:val="20"/>
          <w:szCs w:val="20"/>
        </w:rPr>
        <w:t xml:space="preserve">  </w:t>
      </w:r>
      <w:r w:rsidR="00552FB8" w:rsidRPr="0019750D">
        <w:rPr>
          <w:rFonts w:ascii="Times New Roman" w:eastAsia="Times New Roman" w:hAnsi="Times New Roman" w:cs="Times New Roman"/>
          <w:color w:val="000000"/>
          <w:sz w:val="20"/>
          <w:szCs w:val="20"/>
        </w:rPr>
        <w:t xml:space="preserve">Our study found </w:t>
      </w:r>
      <w:r w:rsidRPr="0019750D">
        <w:rPr>
          <w:rFonts w:ascii="Times New Roman" w:eastAsia="Times New Roman" w:hAnsi="Times New Roman" w:cs="Times New Roman"/>
          <w:color w:val="000000"/>
          <w:sz w:val="20"/>
          <w:szCs w:val="20"/>
        </w:rPr>
        <w:t>inconsistencies</w:t>
      </w:r>
      <w:r w:rsidR="00A94E6A" w:rsidRPr="0019750D">
        <w:rPr>
          <w:rFonts w:ascii="Times New Roman" w:eastAsia="Times New Roman" w:hAnsi="Times New Roman" w:cs="Times New Roman"/>
          <w:color w:val="000000"/>
          <w:sz w:val="20"/>
          <w:szCs w:val="20"/>
        </w:rPr>
        <w:t xml:space="preserve"> in the </w:t>
      </w:r>
      <w:r w:rsidR="00362068">
        <w:rPr>
          <w:rFonts w:ascii="Times New Roman" w:eastAsia="Times New Roman" w:hAnsi="Times New Roman" w:cs="Times New Roman"/>
          <w:color w:val="000000"/>
          <w:sz w:val="20"/>
          <w:szCs w:val="20"/>
        </w:rPr>
        <w:t>12</w:t>
      </w:r>
      <w:r w:rsidR="006333B3">
        <w:rPr>
          <w:rFonts w:ascii="Times New Roman" w:eastAsia="Times New Roman" w:hAnsi="Times New Roman" w:cs="Times New Roman"/>
          <w:color w:val="000000"/>
          <w:sz w:val="20"/>
          <w:szCs w:val="20"/>
        </w:rPr>
        <w:t xml:space="preserve"> </w:t>
      </w:r>
      <w:r w:rsidR="00775F96">
        <w:rPr>
          <w:rFonts w:ascii="Times New Roman" w:eastAsia="Times New Roman" w:hAnsi="Times New Roman" w:cs="Times New Roman"/>
          <w:color w:val="000000"/>
          <w:sz w:val="20"/>
          <w:szCs w:val="20"/>
        </w:rPr>
        <w:t xml:space="preserve">U.S. </w:t>
      </w:r>
      <w:r w:rsidR="00A94E6A" w:rsidRPr="0019750D">
        <w:rPr>
          <w:rFonts w:ascii="Times New Roman" w:eastAsia="Times New Roman" w:hAnsi="Times New Roman" w:cs="Times New Roman"/>
          <w:color w:val="000000"/>
          <w:sz w:val="20"/>
          <w:szCs w:val="20"/>
        </w:rPr>
        <w:t xml:space="preserve">counties’ current use of discount rates and other actuarial methods, </w:t>
      </w:r>
      <w:r w:rsidR="00471521" w:rsidRPr="0019750D">
        <w:rPr>
          <w:rFonts w:ascii="Times New Roman" w:eastAsia="Times New Roman" w:hAnsi="Times New Roman" w:cs="Times New Roman"/>
          <w:color w:val="000000"/>
          <w:sz w:val="20"/>
          <w:szCs w:val="20"/>
        </w:rPr>
        <w:t>support</w:t>
      </w:r>
      <w:r w:rsidRPr="0019750D">
        <w:rPr>
          <w:rFonts w:ascii="Times New Roman" w:eastAsia="Times New Roman" w:hAnsi="Times New Roman" w:cs="Times New Roman"/>
          <w:color w:val="000000"/>
          <w:sz w:val="20"/>
          <w:szCs w:val="20"/>
        </w:rPr>
        <w:t xml:space="preserve">ing </w:t>
      </w:r>
      <w:r w:rsidR="0000130D" w:rsidRPr="0019750D">
        <w:rPr>
          <w:rFonts w:ascii="Times New Roman" w:eastAsia="Times New Roman" w:hAnsi="Times New Roman" w:cs="Times New Roman"/>
          <w:color w:val="000000"/>
          <w:sz w:val="20"/>
          <w:szCs w:val="20"/>
        </w:rPr>
        <w:t>GASB’s claims that the new standards</w:t>
      </w:r>
      <w:r w:rsidR="00A94E6A" w:rsidRPr="0019750D">
        <w:rPr>
          <w:rFonts w:ascii="Times New Roman" w:eastAsia="Times New Roman" w:hAnsi="Times New Roman" w:cs="Times New Roman"/>
          <w:color w:val="000000"/>
          <w:sz w:val="20"/>
          <w:szCs w:val="20"/>
        </w:rPr>
        <w:t xml:space="preserve"> will make governmental financial statements more comparable. </w:t>
      </w:r>
      <w:r w:rsidR="0000130D" w:rsidRPr="0019750D">
        <w:rPr>
          <w:rFonts w:ascii="Times New Roman" w:eastAsia="Times New Roman" w:hAnsi="Times New Roman" w:cs="Times New Roman"/>
          <w:color w:val="000000"/>
          <w:sz w:val="20"/>
          <w:szCs w:val="20"/>
        </w:rPr>
        <w:t>Moreover,</w:t>
      </w:r>
      <w:r w:rsidR="00FC5DE3" w:rsidRPr="0019750D">
        <w:rPr>
          <w:rFonts w:ascii="Times New Roman" w:eastAsia="Times New Roman" w:hAnsi="Times New Roman" w:cs="Times New Roman"/>
          <w:color w:val="000000"/>
          <w:sz w:val="20"/>
          <w:szCs w:val="20"/>
        </w:rPr>
        <w:t xml:space="preserve"> by examining current </w:t>
      </w:r>
      <w:r w:rsidR="0000130D" w:rsidRPr="0019750D">
        <w:rPr>
          <w:rFonts w:ascii="Times New Roman" w:eastAsia="Times New Roman" w:hAnsi="Times New Roman" w:cs="Times New Roman"/>
          <w:color w:val="000000"/>
          <w:sz w:val="20"/>
          <w:szCs w:val="20"/>
        </w:rPr>
        <w:t xml:space="preserve">disclosures, we </w:t>
      </w:r>
      <w:r w:rsidR="00FC5DE3" w:rsidRPr="0019750D">
        <w:rPr>
          <w:rFonts w:ascii="Times New Roman" w:eastAsia="Times New Roman" w:hAnsi="Times New Roman" w:cs="Times New Roman"/>
          <w:color w:val="000000"/>
          <w:sz w:val="20"/>
          <w:szCs w:val="20"/>
        </w:rPr>
        <w:t>documented the likely magnitude of the incr</w:t>
      </w:r>
      <w:r w:rsidR="0000130D" w:rsidRPr="0019750D">
        <w:rPr>
          <w:rFonts w:ascii="Times New Roman" w:eastAsia="Times New Roman" w:hAnsi="Times New Roman" w:cs="Times New Roman"/>
          <w:color w:val="000000"/>
          <w:sz w:val="20"/>
          <w:szCs w:val="20"/>
        </w:rPr>
        <w:t xml:space="preserve">ease in </w:t>
      </w:r>
      <w:r w:rsidR="00362068">
        <w:rPr>
          <w:rFonts w:ascii="Times New Roman" w:eastAsia="Times New Roman" w:hAnsi="Times New Roman" w:cs="Times New Roman"/>
          <w:color w:val="000000"/>
          <w:sz w:val="20"/>
          <w:szCs w:val="20"/>
        </w:rPr>
        <w:t xml:space="preserve">OPEB </w:t>
      </w:r>
      <w:r w:rsidR="0000130D" w:rsidRPr="0019750D">
        <w:rPr>
          <w:rFonts w:ascii="Times New Roman" w:eastAsia="Times New Roman" w:hAnsi="Times New Roman" w:cs="Times New Roman"/>
          <w:color w:val="000000"/>
          <w:sz w:val="20"/>
          <w:szCs w:val="20"/>
        </w:rPr>
        <w:t xml:space="preserve">liabilities. </w:t>
      </w:r>
    </w:p>
    <w:p w:rsidR="00A424AB" w:rsidRPr="0019750D" w:rsidRDefault="00A424AB" w:rsidP="007C2931">
      <w:pPr>
        <w:spacing w:after="0" w:line="240" w:lineRule="auto"/>
        <w:ind w:firstLine="720"/>
        <w:jc w:val="both"/>
        <w:rPr>
          <w:rFonts w:ascii="Times New Roman" w:eastAsia="Times New Roman" w:hAnsi="Times New Roman" w:cs="Times New Roman"/>
          <w:color w:val="000000"/>
          <w:sz w:val="20"/>
          <w:szCs w:val="20"/>
        </w:rPr>
      </w:pPr>
    </w:p>
    <w:p w:rsidR="00E44BAA" w:rsidRDefault="00A52349" w:rsidP="00A52349">
      <w:pPr>
        <w:spacing w:after="0" w:line="240" w:lineRule="auto"/>
        <w:contextualSpacing/>
        <w:jc w:val="center"/>
        <w:rPr>
          <w:rFonts w:ascii="Times New Roman" w:eastAsia="Times New Roman" w:hAnsi="Times New Roman" w:cs="Times New Roman"/>
          <w:b/>
          <w:color w:val="000000"/>
          <w:sz w:val="20"/>
          <w:szCs w:val="20"/>
        </w:rPr>
      </w:pPr>
      <w:r w:rsidRPr="0019750D">
        <w:rPr>
          <w:rFonts w:ascii="Times New Roman" w:eastAsia="Times New Roman" w:hAnsi="Times New Roman" w:cs="Times New Roman"/>
          <w:b/>
          <w:color w:val="000000"/>
          <w:sz w:val="20"/>
          <w:szCs w:val="20"/>
        </w:rPr>
        <w:t>THE EVOLUTION OF OPEB REPORTING</w:t>
      </w:r>
    </w:p>
    <w:p w:rsidR="00A52349" w:rsidRPr="0019750D" w:rsidRDefault="00A52349" w:rsidP="00A52349">
      <w:pPr>
        <w:spacing w:after="0" w:line="240" w:lineRule="auto"/>
        <w:contextualSpacing/>
        <w:jc w:val="center"/>
        <w:rPr>
          <w:rFonts w:ascii="Times New Roman" w:eastAsia="Times New Roman" w:hAnsi="Times New Roman" w:cs="Times New Roman"/>
          <w:b/>
          <w:color w:val="000000"/>
          <w:sz w:val="20"/>
          <w:szCs w:val="20"/>
        </w:rPr>
      </w:pPr>
    </w:p>
    <w:p w:rsidR="00CC0A4C" w:rsidRDefault="000B4EC8" w:rsidP="00A52349">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r w:rsidRPr="000B4EC8">
        <w:rPr>
          <w:rFonts w:ascii="Times New Roman" w:eastAsia="Times New Roman" w:hAnsi="Times New Roman" w:cs="Times New Roman"/>
          <w:color w:val="000000"/>
          <w:sz w:val="20"/>
          <w:szCs w:val="20"/>
        </w:rPr>
        <w:t>Prior to 2004, when G</w:t>
      </w:r>
      <w:r w:rsidR="00CC0A4C">
        <w:rPr>
          <w:rFonts w:ascii="Times New Roman" w:eastAsia="Times New Roman" w:hAnsi="Times New Roman" w:cs="Times New Roman"/>
          <w:color w:val="000000"/>
          <w:sz w:val="20"/>
          <w:szCs w:val="20"/>
        </w:rPr>
        <w:t xml:space="preserve">ASB 43 and 45 were issued, </w:t>
      </w:r>
      <w:r w:rsidRPr="000B4EC8">
        <w:rPr>
          <w:rFonts w:ascii="Times New Roman" w:eastAsia="Times New Roman" w:hAnsi="Times New Roman" w:cs="Times New Roman"/>
          <w:color w:val="000000"/>
          <w:sz w:val="20"/>
          <w:szCs w:val="20"/>
        </w:rPr>
        <w:t xml:space="preserve">OPEB expenses were reported on a </w:t>
      </w:r>
      <w:r w:rsidRPr="0019750D">
        <w:rPr>
          <w:rFonts w:ascii="Times New Roman" w:eastAsia="Times New Roman" w:hAnsi="Times New Roman" w:cs="Times New Roman"/>
          <w:color w:val="000000"/>
          <w:sz w:val="20"/>
          <w:szCs w:val="20"/>
        </w:rPr>
        <w:t>Pay-as-You-Go basis</w:t>
      </w:r>
      <w:r w:rsidRPr="000B4EC8">
        <w:rPr>
          <w:rFonts w:ascii="Times New Roman" w:eastAsia="Times New Roman" w:hAnsi="Times New Roman" w:cs="Times New Roman"/>
          <w:color w:val="000000"/>
          <w:sz w:val="20"/>
          <w:szCs w:val="20"/>
        </w:rPr>
        <w:t>.  Accrual accounting for those expen</w:t>
      </w:r>
      <w:r w:rsidR="00CC0A4C">
        <w:rPr>
          <w:rFonts w:ascii="Times New Roman" w:eastAsia="Times New Roman" w:hAnsi="Times New Roman" w:cs="Times New Roman"/>
          <w:color w:val="000000"/>
          <w:sz w:val="20"/>
          <w:szCs w:val="20"/>
        </w:rPr>
        <w:t xml:space="preserve">ses was not required. GASB 12 </w:t>
      </w:r>
      <w:r w:rsidRPr="000B4EC8">
        <w:rPr>
          <w:rFonts w:ascii="Times New Roman" w:eastAsia="Times New Roman" w:hAnsi="Times New Roman" w:cs="Times New Roman"/>
          <w:color w:val="000000"/>
          <w:sz w:val="20"/>
          <w:szCs w:val="20"/>
        </w:rPr>
        <w:t>required descriptive disclosure information</w:t>
      </w:r>
      <w:r>
        <w:rPr>
          <w:rFonts w:ascii="Times New Roman" w:eastAsia="Times New Roman" w:hAnsi="Times New Roman" w:cs="Times New Roman"/>
          <w:color w:val="000000"/>
          <w:sz w:val="20"/>
          <w:szCs w:val="20"/>
        </w:rPr>
        <w:t xml:space="preserve">, including the </w:t>
      </w:r>
      <w:r w:rsidRPr="000B4EC8">
        <w:rPr>
          <w:rFonts w:ascii="Times New Roman" w:eastAsia="Times New Roman" w:hAnsi="Times New Roman" w:cs="Times New Roman"/>
          <w:color w:val="000000"/>
          <w:sz w:val="20"/>
          <w:szCs w:val="20"/>
        </w:rPr>
        <w:t>annu</w:t>
      </w:r>
      <w:r w:rsidR="00CC0A4C">
        <w:rPr>
          <w:rFonts w:ascii="Times New Roman" w:eastAsia="Times New Roman" w:hAnsi="Times New Roman" w:cs="Times New Roman"/>
          <w:color w:val="000000"/>
          <w:sz w:val="20"/>
          <w:szCs w:val="20"/>
        </w:rPr>
        <w:t xml:space="preserve">al expense amount.  GASB 26 </w:t>
      </w:r>
      <w:r w:rsidRPr="000B4EC8">
        <w:rPr>
          <w:rFonts w:ascii="Times New Roman" w:eastAsia="Times New Roman" w:hAnsi="Times New Roman" w:cs="Times New Roman"/>
          <w:color w:val="000000"/>
          <w:sz w:val="20"/>
          <w:szCs w:val="20"/>
        </w:rPr>
        <w:t>added additional schedules about the expenses and funding status</w:t>
      </w:r>
      <w:r>
        <w:rPr>
          <w:rFonts w:ascii="Times New Roman" w:eastAsia="Times New Roman" w:hAnsi="Times New Roman" w:cs="Times New Roman"/>
          <w:color w:val="000000"/>
          <w:sz w:val="20"/>
          <w:szCs w:val="20"/>
        </w:rPr>
        <w:t xml:space="preserve"> of the plans</w:t>
      </w:r>
      <w:r w:rsidR="00CC0A4C">
        <w:rPr>
          <w:rFonts w:ascii="Times New Roman" w:eastAsia="Times New Roman" w:hAnsi="Times New Roman" w:cs="Times New Roman"/>
          <w:color w:val="000000"/>
          <w:sz w:val="20"/>
          <w:szCs w:val="20"/>
        </w:rPr>
        <w:t xml:space="preserve">. GASB 43 and GASB 45 were </w:t>
      </w:r>
      <w:r w:rsidRPr="000B4EC8">
        <w:rPr>
          <w:rFonts w:ascii="Times New Roman" w:eastAsia="Times New Roman" w:hAnsi="Times New Roman" w:cs="Times New Roman"/>
          <w:color w:val="000000"/>
          <w:sz w:val="20"/>
          <w:szCs w:val="20"/>
        </w:rPr>
        <w:t>major update</w:t>
      </w:r>
      <w:r w:rsidR="00CC0A4C">
        <w:rPr>
          <w:rFonts w:ascii="Times New Roman" w:eastAsia="Times New Roman" w:hAnsi="Times New Roman" w:cs="Times New Roman"/>
          <w:color w:val="000000"/>
          <w:sz w:val="20"/>
          <w:szCs w:val="20"/>
        </w:rPr>
        <w:t>s</w:t>
      </w:r>
      <w:r w:rsidRPr="000B4EC8">
        <w:rPr>
          <w:rFonts w:ascii="Times New Roman" w:eastAsia="Times New Roman" w:hAnsi="Times New Roman" w:cs="Times New Roman"/>
          <w:color w:val="000000"/>
          <w:sz w:val="20"/>
          <w:szCs w:val="20"/>
        </w:rPr>
        <w:t xml:space="preserve"> in reporting requirements</w:t>
      </w:r>
      <w:r>
        <w:rPr>
          <w:rFonts w:ascii="Times New Roman" w:eastAsia="Times New Roman" w:hAnsi="Times New Roman" w:cs="Times New Roman"/>
          <w:color w:val="000000"/>
          <w:sz w:val="20"/>
          <w:szCs w:val="20"/>
        </w:rPr>
        <w:t>.</w:t>
      </w:r>
      <w:r w:rsidR="007804A1" w:rsidRPr="0019750D">
        <w:rPr>
          <w:rFonts w:ascii="Times New Roman" w:eastAsia="Times New Roman" w:hAnsi="Times New Roman" w:cs="Times New Roman"/>
          <w:color w:val="000000"/>
          <w:sz w:val="20"/>
          <w:szCs w:val="20"/>
        </w:rPr>
        <w:t xml:space="preserve"> </w:t>
      </w:r>
      <w:r w:rsidR="00E44BAA" w:rsidRPr="0019750D">
        <w:rPr>
          <w:rFonts w:ascii="Times New Roman" w:eastAsia="Times New Roman" w:hAnsi="Times New Roman" w:cs="Times New Roman"/>
          <w:color w:val="000000"/>
          <w:sz w:val="20"/>
          <w:szCs w:val="20"/>
        </w:rPr>
        <w:t>Following the general principles of government pension reporting at that time, GASB 43 and GASB 45 set forth standards to address how governments should determine, account for, and repo</w:t>
      </w:r>
      <w:r w:rsidR="00D02EFF">
        <w:rPr>
          <w:rFonts w:ascii="Times New Roman" w:eastAsia="Times New Roman" w:hAnsi="Times New Roman" w:cs="Times New Roman"/>
          <w:color w:val="000000"/>
          <w:sz w:val="20"/>
          <w:szCs w:val="20"/>
        </w:rPr>
        <w:t xml:space="preserve">rt both the annual cost </w:t>
      </w:r>
      <w:r w:rsidR="00E44BAA" w:rsidRPr="0019750D">
        <w:rPr>
          <w:rFonts w:ascii="Times New Roman" w:eastAsia="Times New Roman" w:hAnsi="Times New Roman" w:cs="Times New Roman"/>
          <w:color w:val="000000"/>
          <w:sz w:val="20"/>
          <w:szCs w:val="20"/>
        </w:rPr>
        <w:t>and the outstanding financi</w:t>
      </w:r>
      <w:r w:rsidR="00D02EFF">
        <w:rPr>
          <w:rFonts w:ascii="Times New Roman" w:eastAsia="Times New Roman" w:hAnsi="Times New Roman" w:cs="Times New Roman"/>
          <w:color w:val="000000"/>
          <w:sz w:val="20"/>
          <w:szCs w:val="20"/>
        </w:rPr>
        <w:t>al obligations relating</w:t>
      </w:r>
      <w:r w:rsidR="00A52349">
        <w:rPr>
          <w:rFonts w:ascii="Times New Roman" w:eastAsia="Times New Roman" w:hAnsi="Times New Roman" w:cs="Times New Roman"/>
          <w:color w:val="000000"/>
          <w:sz w:val="20"/>
          <w:szCs w:val="20"/>
        </w:rPr>
        <w:t xml:space="preserve"> to OPEB. </w:t>
      </w:r>
    </w:p>
    <w:p w:rsidR="00CC0A4C" w:rsidRDefault="00CC0A4C" w:rsidP="00A52349">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E44BAA" w:rsidRDefault="007804A1" w:rsidP="00A52349">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r w:rsidRPr="0019750D">
        <w:rPr>
          <w:rFonts w:ascii="Times New Roman" w:eastAsia="Times New Roman" w:hAnsi="Times New Roman" w:cs="Times New Roman"/>
          <w:color w:val="000000"/>
          <w:sz w:val="20"/>
          <w:szCs w:val="20"/>
        </w:rPr>
        <w:t xml:space="preserve">GASB 43 requires state and local governments to issue a Statement of Plan Net Assets and a Statement of Changes in Plan Assets and multiyear schedules in the notes to the financial statements. The first </w:t>
      </w:r>
      <w:r w:rsidR="00CC0A4C">
        <w:rPr>
          <w:rFonts w:ascii="Times New Roman" w:eastAsia="Times New Roman" w:hAnsi="Times New Roman" w:cs="Times New Roman"/>
          <w:color w:val="000000"/>
          <w:sz w:val="20"/>
          <w:szCs w:val="20"/>
        </w:rPr>
        <w:t xml:space="preserve">statement </w:t>
      </w:r>
      <w:r w:rsidRPr="0019750D">
        <w:rPr>
          <w:rFonts w:ascii="Times New Roman" w:eastAsia="Times New Roman" w:hAnsi="Times New Roman" w:cs="Times New Roman"/>
          <w:color w:val="000000"/>
          <w:sz w:val="20"/>
          <w:szCs w:val="20"/>
        </w:rPr>
        <w:t>provides all the information about the composition of the assets, liabilities and net assets of the plan held in trusts for OPEB while the s</w:t>
      </w:r>
      <w:r w:rsidR="00CC0A4C">
        <w:rPr>
          <w:rFonts w:ascii="Times New Roman" w:eastAsia="Times New Roman" w:hAnsi="Times New Roman" w:cs="Times New Roman"/>
          <w:color w:val="000000"/>
          <w:sz w:val="20"/>
          <w:szCs w:val="20"/>
        </w:rPr>
        <w:t>econd statement tracks the year-to-</w:t>
      </w:r>
      <w:r w:rsidRPr="0019750D">
        <w:rPr>
          <w:rFonts w:ascii="Times New Roman" w:eastAsia="Times New Roman" w:hAnsi="Times New Roman" w:cs="Times New Roman"/>
          <w:color w:val="000000"/>
          <w:sz w:val="20"/>
          <w:szCs w:val="20"/>
        </w:rPr>
        <w:t>year changes in plan net assets.</w:t>
      </w:r>
      <w:r w:rsidR="00A52349">
        <w:rPr>
          <w:rFonts w:ascii="Times New Roman" w:eastAsia="Times New Roman" w:hAnsi="Times New Roman" w:cs="Times New Roman"/>
          <w:color w:val="000000"/>
          <w:sz w:val="20"/>
          <w:szCs w:val="20"/>
        </w:rPr>
        <w:t xml:space="preserve"> </w:t>
      </w:r>
      <w:r w:rsidRPr="0019750D">
        <w:rPr>
          <w:rFonts w:ascii="Times New Roman" w:eastAsia="Times New Roman" w:hAnsi="Times New Roman" w:cs="Times New Roman"/>
          <w:color w:val="000000"/>
          <w:sz w:val="20"/>
          <w:szCs w:val="20"/>
        </w:rPr>
        <w:t>The plans must report the cu</w:t>
      </w:r>
      <w:r w:rsidR="00D02EFF">
        <w:rPr>
          <w:rFonts w:ascii="Times New Roman" w:eastAsia="Times New Roman" w:hAnsi="Times New Roman" w:cs="Times New Roman"/>
          <w:color w:val="000000"/>
          <w:sz w:val="20"/>
          <w:szCs w:val="20"/>
        </w:rPr>
        <w:t>rrent fund status as well as t</w:t>
      </w:r>
      <w:r w:rsidRPr="0019750D">
        <w:rPr>
          <w:rFonts w:ascii="Times New Roman" w:eastAsia="Times New Roman" w:hAnsi="Times New Roman" w:cs="Times New Roman"/>
          <w:color w:val="000000"/>
          <w:sz w:val="20"/>
          <w:szCs w:val="20"/>
        </w:rPr>
        <w:t>he most recent actuarial valuati</w:t>
      </w:r>
      <w:r w:rsidR="00CC0A4C">
        <w:rPr>
          <w:rFonts w:ascii="Times New Roman" w:eastAsia="Times New Roman" w:hAnsi="Times New Roman" w:cs="Times New Roman"/>
          <w:color w:val="000000"/>
          <w:sz w:val="20"/>
          <w:szCs w:val="20"/>
        </w:rPr>
        <w:t xml:space="preserve">on date. GASB 43 requires that </w:t>
      </w:r>
      <w:r w:rsidRPr="0019750D">
        <w:rPr>
          <w:rFonts w:ascii="Times New Roman" w:eastAsia="Times New Roman" w:hAnsi="Times New Roman" w:cs="Times New Roman"/>
          <w:color w:val="000000"/>
          <w:sz w:val="20"/>
          <w:szCs w:val="20"/>
        </w:rPr>
        <w:t>a defined benefit OPEB pla</w:t>
      </w:r>
      <w:r w:rsidR="00CC0A4C">
        <w:rPr>
          <w:rFonts w:ascii="Times New Roman" w:eastAsia="Times New Roman" w:hAnsi="Times New Roman" w:cs="Times New Roman"/>
          <w:color w:val="000000"/>
          <w:sz w:val="20"/>
          <w:szCs w:val="20"/>
        </w:rPr>
        <w:t>n obtain an actuarial valuation</w:t>
      </w:r>
      <w:r w:rsidR="00775F96">
        <w:rPr>
          <w:rFonts w:ascii="Times New Roman" w:eastAsia="Times New Roman" w:hAnsi="Times New Roman" w:cs="Times New Roman"/>
          <w:color w:val="000000"/>
          <w:sz w:val="20"/>
          <w:szCs w:val="20"/>
        </w:rPr>
        <w:t xml:space="preserve"> (GASB</w:t>
      </w:r>
      <w:r w:rsidR="00CC0A4C">
        <w:rPr>
          <w:rFonts w:ascii="Times New Roman" w:eastAsia="Times New Roman" w:hAnsi="Times New Roman" w:cs="Times New Roman"/>
          <w:color w:val="000000"/>
          <w:sz w:val="20"/>
          <w:szCs w:val="20"/>
        </w:rPr>
        <w:t xml:space="preserve">, 2004).  GASB 57 amends this requirement.  This Standard states that the fund valuation </w:t>
      </w:r>
      <w:r w:rsidRPr="0019750D">
        <w:rPr>
          <w:rFonts w:ascii="Times New Roman" w:eastAsia="Times New Roman" w:hAnsi="Times New Roman" w:cs="Times New Roman"/>
          <w:color w:val="000000"/>
          <w:sz w:val="20"/>
          <w:szCs w:val="20"/>
        </w:rPr>
        <w:t xml:space="preserve">can be satisfied for an agent multiple-employer OPEB plan by reporting an aggregation of results of actuarial valuations of the individual-employer OPEB plans or measurements resulting from </w:t>
      </w:r>
      <w:r w:rsidR="00D02EFF">
        <w:rPr>
          <w:rFonts w:ascii="Times New Roman" w:eastAsia="Times New Roman" w:hAnsi="Times New Roman" w:cs="Times New Roman"/>
          <w:color w:val="000000"/>
          <w:sz w:val="20"/>
          <w:szCs w:val="20"/>
        </w:rPr>
        <w:t xml:space="preserve">the </w:t>
      </w:r>
      <w:r w:rsidRPr="0019750D">
        <w:rPr>
          <w:rFonts w:ascii="Times New Roman" w:eastAsia="Times New Roman" w:hAnsi="Times New Roman" w:cs="Times New Roman"/>
          <w:color w:val="000000"/>
          <w:sz w:val="20"/>
          <w:szCs w:val="20"/>
        </w:rPr>
        <w:t>use of the alternative measurement method for individual-employ</w:t>
      </w:r>
      <w:r w:rsidR="00CC0A4C">
        <w:rPr>
          <w:rFonts w:ascii="Times New Roman" w:eastAsia="Times New Roman" w:hAnsi="Times New Roman" w:cs="Times New Roman"/>
          <w:color w:val="000000"/>
          <w:sz w:val="20"/>
          <w:szCs w:val="20"/>
        </w:rPr>
        <w:t>er OPEB plans that are eligible</w:t>
      </w:r>
      <w:r w:rsidR="00775F96">
        <w:rPr>
          <w:rFonts w:ascii="Times New Roman" w:eastAsia="Times New Roman" w:hAnsi="Times New Roman" w:cs="Times New Roman"/>
          <w:color w:val="000000"/>
          <w:sz w:val="20"/>
          <w:szCs w:val="20"/>
        </w:rPr>
        <w:t xml:space="preserve"> (GASB</w:t>
      </w:r>
      <w:r w:rsidR="00CC0A4C">
        <w:rPr>
          <w:rFonts w:ascii="Times New Roman" w:eastAsia="Times New Roman" w:hAnsi="Times New Roman" w:cs="Times New Roman"/>
          <w:color w:val="000000"/>
          <w:sz w:val="20"/>
          <w:szCs w:val="20"/>
        </w:rPr>
        <w:t>, 2009</w:t>
      </w:r>
      <w:r w:rsidRPr="0019750D">
        <w:rPr>
          <w:rFonts w:ascii="Times New Roman" w:eastAsia="Times New Roman" w:hAnsi="Times New Roman" w:cs="Times New Roman"/>
          <w:color w:val="000000"/>
          <w:sz w:val="20"/>
          <w:szCs w:val="20"/>
        </w:rPr>
        <w:t>).</w:t>
      </w:r>
    </w:p>
    <w:p w:rsidR="00A52349" w:rsidRPr="0019750D" w:rsidRDefault="00A52349" w:rsidP="00A52349">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DD78C3" w:rsidRPr="00CC0A4C" w:rsidRDefault="00E44BAA" w:rsidP="00A52349">
      <w:pPr>
        <w:autoSpaceDE w:val="0"/>
        <w:autoSpaceDN w:val="0"/>
        <w:adjustRightInd w:val="0"/>
        <w:spacing w:after="0" w:line="240" w:lineRule="auto"/>
        <w:jc w:val="both"/>
        <w:rPr>
          <w:rFonts w:ascii="Times New Roman" w:hAnsi="Times New Roman"/>
          <w:sz w:val="20"/>
          <w:szCs w:val="20"/>
        </w:rPr>
      </w:pPr>
      <w:r w:rsidRPr="0019750D">
        <w:rPr>
          <w:rFonts w:ascii="Times New Roman" w:hAnsi="Times New Roman" w:cstheme="minorHAnsi"/>
          <w:sz w:val="20"/>
          <w:szCs w:val="20"/>
        </w:rPr>
        <w:tab/>
      </w:r>
      <w:r w:rsidR="00A52349">
        <w:rPr>
          <w:rFonts w:ascii="Times New Roman" w:hAnsi="Times New Roman" w:cstheme="minorHAnsi"/>
          <w:sz w:val="20"/>
          <w:szCs w:val="20"/>
        </w:rPr>
        <w:t xml:space="preserve">Under </w:t>
      </w:r>
      <w:r w:rsidR="00A52349">
        <w:rPr>
          <w:rFonts w:ascii="Times New Roman" w:eastAsia="Times New Roman" w:hAnsi="Times New Roman" w:cs="Times New Roman"/>
          <w:sz w:val="20"/>
          <w:szCs w:val="20"/>
        </w:rPr>
        <w:t>GASB</w:t>
      </w:r>
      <w:r w:rsidR="00CC0A4C">
        <w:rPr>
          <w:rFonts w:ascii="Times New Roman" w:eastAsia="Times New Roman" w:hAnsi="Times New Roman" w:cs="Times New Roman"/>
          <w:sz w:val="20"/>
          <w:szCs w:val="20"/>
        </w:rPr>
        <w:t xml:space="preserve"> </w:t>
      </w:r>
      <w:r w:rsidR="00775F96">
        <w:rPr>
          <w:rFonts w:ascii="Times New Roman" w:eastAsia="Times New Roman" w:hAnsi="Times New Roman" w:cs="Times New Roman"/>
          <w:sz w:val="20"/>
          <w:szCs w:val="20"/>
        </w:rPr>
        <w:t>45 (GASB</w:t>
      </w:r>
      <w:r w:rsidR="00A424AB">
        <w:rPr>
          <w:rFonts w:ascii="Times New Roman" w:eastAsia="Times New Roman" w:hAnsi="Times New Roman" w:cs="Times New Roman"/>
          <w:sz w:val="20"/>
          <w:szCs w:val="20"/>
        </w:rPr>
        <w:t xml:space="preserve">, 2004) </w:t>
      </w:r>
      <w:r w:rsidR="00A52349">
        <w:rPr>
          <w:rFonts w:ascii="Times New Roman" w:eastAsia="Times New Roman" w:hAnsi="Times New Roman" w:cs="Times New Roman"/>
          <w:sz w:val="20"/>
          <w:szCs w:val="20"/>
        </w:rPr>
        <w:t>s</w:t>
      </w:r>
      <w:r w:rsidR="00CC0A4C">
        <w:rPr>
          <w:rFonts w:ascii="Times New Roman" w:hAnsi="Times New Roman"/>
          <w:sz w:val="20"/>
          <w:szCs w:val="20"/>
        </w:rPr>
        <w:t>ole and agent employers</w:t>
      </w:r>
      <w:r w:rsidR="00DD78C3" w:rsidRPr="0019750D">
        <w:rPr>
          <w:rFonts w:ascii="Times New Roman" w:hAnsi="Times New Roman"/>
          <w:sz w:val="20"/>
          <w:szCs w:val="20"/>
        </w:rPr>
        <w:t xml:space="preserve"> recognize OPEB expense in an amount equal to annual OPEB cost in government-wide financial statements and in the financial statements of proprietary funds and fiduciary funds from which OPEB contributions are made. OPEB expen</w:t>
      </w:r>
      <w:r w:rsidR="00CC0A4C">
        <w:rPr>
          <w:rFonts w:ascii="Times New Roman" w:hAnsi="Times New Roman"/>
          <w:sz w:val="20"/>
          <w:szCs w:val="20"/>
        </w:rPr>
        <w:t>ditures are</w:t>
      </w:r>
      <w:r w:rsidR="00DD78C3" w:rsidRPr="0019750D">
        <w:rPr>
          <w:rFonts w:ascii="Times New Roman" w:hAnsi="Times New Roman"/>
          <w:sz w:val="20"/>
          <w:szCs w:val="20"/>
        </w:rPr>
        <w:t xml:space="preserve"> recognized on a modified accrual basis in government</w:t>
      </w:r>
      <w:r w:rsidR="00F72894">
        <w:rPr>
          <w:rFonts w:ascii="Times New Roman" w:hAnsi="Times New Roman"/>
          <w:sz w:val="20"/>
          <w:szCs w:val="20"/>
        </w:rPr>
        <w:t xml:space="preserve">al </w:t>
      </w:r>
      <w:r w:rsidR="00DD78C3" w:rsidRPr="0019750D">
        <w:rPr>
          <w:rFonts w:ascii="Times New Roman" w:hAnsi="Times New Roman"/>
          <w:sz w:val="20"/>
          <w:szCs w:val="20"/>
        </w:rPr>
        <w:t xml:space="preserve">financial statements. Net OPEB obligations, if any, including amounts associated with under- or </w:t>
      </w:r>
      <w:r w:rsidR="00F9545B" w:rsidRPr="0019750D">
        <w:rPr>
          <w:rFonts w:ascii="Times New Roman" w:hAnsi="Times New Roman"/>
          <w:sz w:val="20"/>
          <w:szCs w:val="20"/>
        </w:rPr>
        <w:t>over contributions</w:t>
      </w:r>
      <w:r w:rsidR="00DD78C3" w:rsidRPr="0019750D">
        <w:rPr>
          <w:rFonts w:ascii="Times New Roman" w:hAnsi="Times New Roman"/>
          <w:sz w:val="20"/>
          <w:szCs w:val="20"/>
        </w:rPr>
        <w:t xml:space="preserve"> fro</w:t>
      </w:r>
      <w:r w:rsidR="00CC0A4C">
        <w:rPr>
          <w:rFonts w:ascii="Times New Roman" w:hAnsi="Times New Roman"/>
          <w:sz w:val="20"/>
          <w:szCs w:val="20"/>
        </w:rPr>
        <w:t xml:space="preserve">m governmental funds, are </w:t>
      </w:r>
      <w:r w:rsidR="00DD78C3" w:rsidRPr="0019750D">
        <w:rPr>
          <w:rFonts w:ascii="Times New Roman" w:hAnsi="Times New Roman"/>
          <w:sz w:val="20"/>
          <w:szCs w:val="20"/>
        </w:rPr>
        <w:t xml:space="preserve">displayed as liabilities (or assets) in government-wide financial statements. Similarly, net OPEB obligations associated with proprietary or fiduciary funds from </w:t>
      </w:r>
      <w:r w:rsidR="00DD78C3" w:rsidRPr="00CC0A4C">
        <w:rPr>
          <w:rFonts w:ascii="Times New Roman" w:hAnsi="Times New Roman"/>
          <w:sz w:val="20"/>
          <w:szCs w:val="20"/>
        </w:rPr>
        <w:t xml:space="preserve">which </w:t>
      </w:r>
      <w:r w:rsidR="00CC0A4C">
        <w:rPr>
          <w:rFonts w:ascii="Times New Roman" w:hAnsi="Times New Roman"/>
          <w:sz w:val="20"/>
          <w:szCs w:val="20"/>
        </w:rPr>
        <w:t>contributions are made are</w:t>
      </w:r>
      <w:r w:rsidR="00DD78C3" w:rsidRPr="00CC0A4C">
        <w:rPr>
          <w:rFonts w:ascii="Times New Roman" w:hAnsi="Times New Roman"/>
          <w:sz w:val="20"/>
          <w:szCs w:val="20"/>
        </w:rPr>
        <w:t xml:space="preserve"> displayed as liabilities (or assets) in the fina</w:t>
      </w:r>
      <w:r w:rsidR="00CC0A4C">
        <w:rPr>
          <w:rFonts w:ascii="Times New Roman" w:hAnsi="Times New Roman"/>
          <w:sz w:val="20"/>
          <w:szCs w:val="20"/>
        </w:rPr>
        <w:t>ncial statements</w:t>
      </w:r>
      <w:r w:rsidR="00A424AB">
        <w:rPr>
          <w:rFonts w:ascii="Times New Roman" w:hAnsi="Times New Roman"/>
          <w:sz w:val="20"/>
          <w:szCs w:val="20"/>
        </w:rPr>
        <w:t xml:space="preserve"> of those funds</w:t>
      </w:r>
      <w:r w:rsidR="00CC0A4C">
        <w:rPr>
          <w:rFonts w:ascii="Times New Roman" w:hAnsi="Times New Roman"/>
          <w:sz w:val="20"/>
          <w:szCs w:val="20"/>
        </w:rPr>
        <w:t>.</w:t>
      </w:r>
    </w:p>
    <w:p w:rsidR="00DD78C3" w:rsidRPr="0019750D" w:rsidRDefault="00DD78C3" w:rsidP="0019750D">
      <w:pPr>
        <w:spacing w:after="0" w:line="240" w:lineRule="auto"/>
        <w:contextualSpacing/>
        <w:jc w:val="both"/>
        <w:rPr>
          <w:rFonts w:ascii="Times New Roman" w:eastAsia="Times New Roman" w:hAnsi="Times New Roman" w:cs="Times New Roman"/>
          <w:i/>
          <w:color w:val="000000"/>
          <w:sz w:val="20"/>
          <w:szCs w:val="20"/>
        </w:rPr>
      </w:pPr>
    </w:p>
    <w:p w:rsidR="00E44BAA" w:rsidRPr="0019750D" w:rsidRDefault="00E44BAA" w:rsidP="0019750D">
      <w:pPr>
        <w:spacing w:after="0" w:line="240" w:lineRule="auto"/>
        <w:ind w:firstLine="720"/>
        <w:contextualSpacing/>
        <w:jc w:val="both"/>
        <w:rPr>
          <w:rFonts w:ascii="Times New Roman" w:eastAsia="Times New Roman" w:hAnsi="Times New Roman" w:cs="Times New Roman"/>
          <w:color w:val="000000"/>
          <w:sz w:val="20"/>
          <w:szCs w:val="20"/>
        </w:rPr>
      </w:pPr>
      <w:r w:rsidRPr="0019750D">
        <w:rPr>
          <w:rFonts w:ascii="Times New Roman" w:eastAsia="Times New Roman" w:hAnsi="Times New Roman" w:cs="Times New Roman"/>
          <w:color w:val="000000"/>
          <w:sz w:val="20"/>
          <w:szCs w:val="20"/>
        </w:rPr>
        <w:t>GASB 45 requires local and state gove</w:t>
      </w:r>
      <w:r w:rsidR="00F72894">
        <w:rPr>
          <w:rFonts w:ascii="Times New Roman" w:eastAsia="Times New Roman" w:hAnsi="Times New Roman" w:cs="Times New Roman"/>
          <w:color w:val="000000"/>
          <w:sz w:val="20"/>
          <w:szCs w:val="20"/>
        </w:rPr>
        <w:t>rnments to account for all OPEB</w:t>
      </w:r>
      <w:r w:rsidRPr="0019750D">
        <w:rPr>
          <w:rFonts w:ascii="Times New Roman" w:eastAsia="Times New Roman" w:hAnsi="Times New Roman" w:cs="Times New Roman"/>
          <w:color w:val="000000"/>
          <w:sz w:val="20"/>
          <w:szCs w:val="20"/>
        </w:rPr>
        <w:t xml:space="preserve">s on an accrual accounting basis </w:t>
      </w:r>
      <w:r w:rsidR="00690AA2" w:rsidRPr="0019750D">
        <w:rPr>
          <w:rFonts w:ascii="Times New Roman" w:eastAsia="Times New Roman" w:hAnsi="Times New Roman" w:cs="Times New Roman"/>
          <w:color w:val="000000"/>
          <w:sz w:val="20"/>
          <w:szCs w:val="20"/>
        </w:rPr>
        <w:t>(</w:t>
      </w:r>
      <w:r w:rsidR="00F9545B" w:rsidRPr="0019750D">
        <w:rPr>
          <w:rFonts w:ascii="Times New Roman" w:eastAsia="Times New Roman" w:hAnsi="Times New Roman" w:cs="Times New Roman"/>
          <w:color w:val="000000"/>
          <w:sz w:val="20"/>
          <w:szCs w:val="20"/>
        </w:rPr>
        <w:t>i.e.</w:t>
      </w:r>
      <w:r w:rsidR="00690AA2" w:rsidRPr="0019750D">
        <w:rPr>
          <w:rFonts w:ascii="Times New Roman" w:eastAsia="Times New Roman" w:hAnsi="Times New Roman" w:cs="Times New Roman"/>
          <w:color w:val="000000"/>
          <w:sz w:val="20"/>
          <w:szCs w:val="20"/>
        </w:rPr>
        <w:t>, whe</w:t>
      </w:r>
      <w:r w:rsidR="00CC0A4C">
        <w:rPr>
          <w:rFonts w:ascii="Times New Roman" w:eastAsia="Times New Roman" w:hAnsi="Times New Roman" w:cs="Times New Roman"/>
          <w:color w:val="000000"/>
          <w:sz w:val="20"/>
          <w:szCs w:val="20"/>
        </w:rPr>
        <w:t>n the employee earned the OPEB)</w:t>
      </w:r>
      <w:r w:rsidR="00690AA2" w:rsidRPr="0019750D">
        <w:rPr>
          <w:rFonts w:ascii="Times New Roman" w:eastAsia="Times New Roman" w:hAnsi="Times New Roman" w:cs="Times New Roman"/>
          <w:color w:val="000000"/>
          <w:sz w:val="20"/>
          <w:szCs w:val="20"/>
        </w:rPr>
        <w:t xml:space="preserve"> </w:t>
      </w:r>
      <w:r w:rsidRPr="0019750D">
        <w:rPr>
          <w:rFonts w:ascii="Times New Roman" w:eastAsia="Times New Roman" w:hAnsi="Times New Roman" w:cs="Times New Roman"/>
          <w:color w:val="000000"/>
          <w:sz w:val="20"/>
          <w:szCs w:val="20"/>
        </w:rPr>
        <w:t>rather than a pay-as-you-go basis.</w:t>
      </w:r>
      <w:r w:rsidRPr="0019750D">
        <w:rPr>
          <w:rFonts w:ascii="Times New Roman" w:hAnsi="Times New Roman" w:cs="Times New Roman"/>
          <w:sz w:val="20"/>
          <w:szCs w:val="20"/>
        </w:rPr>
        <w:t xml:space="preserve"> The pay-as-you-go method allowed employers to wait until the </w:t>
      </w:r>
      <w:r w:rsidRPr="0019750D">
        <w:rPr>
          <w:rFonts w:ascii="Times New Roman" w:eastAsia="Times New Roman" w:hAnsi="Times New Roman" w:cs="Times New Roman"/>
          <w:color w:val="000000"/>
          <w:sz w:val="20"/>
          <w:szCs w:val="20"/>
        </w:rPr>
        <w:t>employee retired to begin paying fo</w:t>
      </w:r>
      <w:r w:rsidR="00F72894">
        <w:rPr>
          <w:rFonts w:ascii="Times New Roman" w:eastAsia="Times New Roman" w:hAnsi="Times New Roman" w:cs="Times New Roman"/>
          <w:color w:val="000000"/>
          <w:sz w:val="20"/>
          <w:szCs w:val="20"/>
        </w:rPr>
        <w:t xml:space="preserve">r their OPEB. This </w:t>
      </w:r>
      <w:r w:rsidRPr="0019750D">
        <w:rPr>
          <w:rFonts w:ascii="Times New Roman" w:eastAsia="Times New Roman" w:hAnsi="Times New Roman" w:cs="Times New Roman"/>
          <w:color w:val="000000"/>
          <w:sz w:val="20"/>
          <w:szCs w:val="20"/>
        </w:rPr>
        <w:t>method was misleading in that governments were paying employees for benefits th</w:t>
      </w:r>
      <w:r w:rsidR="00CC0A4C">
        <w:rPr>
          <w:rFonts w:ascii="Times New Roman" w:eastAsia="Times New Roman" w:hAnsi="Times New Roman" w:cs="Times New Roman"/>
          <w:color w:val="000000"/>
          <w:sz w:val="20"/>
          <w:szCs w:val="20"/>
        </w:rPr>
        <w:t>ey earned some time in the past. G</w:t>
      </w:r>
      <w:r w:rsidRPr="0019750D">
        <w:rPr>
          <w:rFonts w:ascii="Times New Roman" w:eastAsia="Times New Roman" w:hAnsi="Times New Roman" w:cs="Times New Roman"/>
          <w:color w:val="000000"/>
          <w:sz w:val="20"/>
          <w:szCs w:val="20"/>
        </w:rPr>
        <w:t>ove</w:t>
      </w:r>
      <w:r w:rsidR="00CC0A4C">
        <w:rPr>
          <w:rFonts w:ascii="Times New Roman" w:eastAsia="Times New Roman" w:hAnsi="Times New Roman" w:cs="Times New Roman"/>
          <w:color w:val="000000"/>
          <w:sz w:val="20"/>
          <w:szCs w:val="20"/>
        </w:rPr>
        <w:t xml:space="preserve">rnments were understating </w:t>
      </w:r>
      <w:r w:rsidRPr="0019750D">
        <w:rPr>
          <w:rFonts w:ascii="Times New Roman" w:eastAsia="Times New Roman" w:hAnsi="Times New Roman" w:cs="Times New Roman"/>
          <w:color w:val="000000"/>
          <w:sz w:val="20"/>
          <w:szCs w:val="20"/>
        </w:rPr>
        <w:t xml:space="preserve">liabilities and </w:t>
      </w:r>
      <w:r w:rsidR="00CC0A4C" w:rsidRPr="0019750D">
        <w:rPr>
          <w:rFonts w:ascii="Times New Roman" w:eastAsia="Times New Roman" w:hAnsi="Times New Roman" w:cs="Times New Roman"/>
          <w:color w:val="000000"/>
          <w:sz w:val="20"/>
          <w:szCs w:val="20"/>
        </w:rPr>
        <w:t>expenses,</w:t>
      </w:r>
      <w:r w:rsidRPr="0019750D">
        <w:rPr>
          <w:rFonts w:ascii="Times New Roman" w:eastAsia="Times New Roman" w:hAnsi="Times New Roman" w:cs="Times New Roman"/>
          <w:color w:val="000000"/>
          <w:sz w:val="20"/>
          <w:szCs w:val="20"/>
        </w:rPr>
        <w:t xml:space="preserve"> as the</w:t>
      </w:r>
      <w:r w:rsidR="00CC0A4C">
        <w:rPr>
          <w:rFonts w:ascii="Times New Roman" w:eastAsia="Times New Roman" w:hAnsi="Times New Roman" w:cs="Times New Roman"/>
          <w:color w:val="000000"/>
          <w:sz w:val="20"/>
          <w:szCs w:val="20"/>
        </w:rPr>
        <w:t xml:space="preserve">y were not reported on </w:t>
      </w:r>
      <w:r w:rsidRPr="0019750D">
        <w:rPr>
          <w:rFonts w:ascii="Times New Roman" w:eastAsia="Times New Roman" w:hAnsi="Times New Roman" w:cs="Times New Roman"/>
          <w:color w:val="000000"/>
          <w:sz w:val="20"/>
          <w:szCs w:val="20"/>
        </w:rPr>
        <w:t xml:space="preserve">financial statements. </w:t>
      </w:r>
    </w:p>
    <w:p w:rsidR="00A52349" w:rsidRDefault="00A52349" w:rsidP="00A52349">
      <w:pPr>
        <w:spacing w:after="0" w:line="240" w:lineRule="auto"/>
        <w:ind w:firstLine="720"/>
        <w:contextualSpacing/>
        <w:jc w:val="both"/>
        <w:rPr>
          <w:rFonts w:ascii="Times New Roman" w:eastAsia="Times New Roman" w:hAnsi="Times New Roman" w:cs="Times New Roman"/>
          <w:color w:val="000000"/>
          <w:sz w:val="20"/>
          <w:szCs w:val="20"/>
        </w:rPr>
      </w:pPr>
    </w:p>
    <w:p w:rsidR="00623692" w:rsidRDefault="00A52349" w:rsidP="00A52349">
      <w:pPr>
        <w:spacing w:after="0" w:line="240" w:lineRule="auto"/>
        <w:ind w:firstLine="720"/>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r w:rsidR="00E44BAA" w:rsidRPr="0019750D">
        <w:rPr>
          <w:rFonts w:ascii="Times New Roman" w:eastAsia="Times New Roman" w:hAnsi="Times New Roman" w:cs="Times New Roman"/>
          <w:color w:val="000000"/>
          <w:sz w:val="20"/>
          <w:szCs w:val="20"/>
        </w:rPr>
        <w:t xml:space="preserve">overnments with two hundred or more current and future beneficiaries perform valuations completed at least </w:t>
      </w:r>
      <w:r w:rsidR="00087619" w:rsidRPr="0019750D">
        <w:rPr>
          <w:rFonts w:ascii="Times New Roman" w:eastAsia="Times New Roman" w:hAnsi="Times New Roman" w:cs="Times New Roman"/>
          <w:color w:val="000000"/>
          <w:sz w:val="20"/>
          <w:szCs w:val="20"/>
        </w:rPr>
        <w:t xml:space="preserve">once every two years </w:t>
      </w:r>
      <w:r w:rsidR="00623692">
        <w:rPr>
          <w:rFonts w:ascii="Times New Roman" w:eastAsia="Times New Roman" w:hAnsi="Times New Roman" w:cs="Times New Roman"/>
          <w:color w:val="000000"/>
          <w:sz w:val="20"/>
          <w:szCs w:val="20"/>
        </w:rPr>
        <w:t>whereas</w:t>
      </w:r>
      <w:r w:rsidR="00E44BAA" w:rsidRPr="0019750D">
        <w:rPr>
          <w:rFonts w:ascii="Times New Roman" w:eastAsia="Times New Roman" w:hAnsi="Times New Roman" w:cs="Times New Roman"/>
          <w:color w:val="000000"/>
          <w:sz w:val="20"/>
          <w:szCs w:val="20"/>
        </w:rPr>
        <w:t xml:space="preserve"> governments with less than two hundred beneficiaries perform </w:t>
      </w:r>
      <w:r w:rsidR="00623692">
        <w:rPr>
          <w:rFonts w:ascii="Times New Roman" w:eastAsia="Times New Roman" w:hAnsi="Times New Roman" w:cs="Times New Roman"/>
          <w:color w:val="000000"/>
          <w:sz w:val="20"/>
          <w:szCs w:val="20"/>
        </w:rPr>
        <w:t xml:space="preserve">valuations on a </w:t>
      </w:r>
      <w:r w:rsidR="00E44BAA" w:rsidRPr="0019750D">
        <w:rPr>
          <w:rFonts w:ascii="Times New Roman" w:eastAsia="Times New Roman" w:hAnsi="Times New Roman" w:cs="Times New Roman"/>
          <w:color w:val="000000"/>
          <w:sz w:val="20"/>
          <w:szCs w:val="20"/>
        </w:rPr>
        <w:t>triennial</w:t>
      </w:r>
      <w:r w:rsidR="00623692">
        <w:rPr>
          <w:rFonts w:ascii="Times New Roman" w:eastAsia="Times New Roman" w:hAnsi="Times New Roman" w:cs="Times New Roman"/>
          <w:color w:val="000000"/>
          <w:sz w:val="20"/>
          <w:szCs w:val="20"/>
        </w:rPr>
        <w:t xml:space="preserve"> valuation basis</w:t>
      </w:r>
      <w:r w:rsidR="00E44BAA" w:rsidRPr="0019750D">
        <w:rPr>
          <w:rFonts w:ascii="Times New Roman" w:eastAsia="Times New Roman" w:hAnsi="Times New Roman" w:cs="Times New Roman"/>
          <w:color w:val="000000"/>
          <w:sz w:val="20"/>
          <w:szCs w:val="20"/>
        </w:rPr>
        <w:t>. Those plans with less than one hundred beneficiaries are allowed to apply a simpler alternative</w:t>
      </w:r>
      <w:r w:rsidR="00623692">
        <w:rPr>
          <w:rFonts w:ascii="Times New Roman" w:eastAsia="Times New Roman" w:hAnsi="Times New Roman" w:cs="Times New Roman"/>
          <w:color w:val="000000"/>
          <w:sz w:val="20"/>
          <w:szCs w:val="20"/>
        </w:rPr>
        <w:t xml:space="preserve"> measurement method. </w:t>
      </w:r>
    </w:p>
    <w:p w:rsidR="00623692" w:rsidRDefault="00623692" w:rsidP="00A52349">
      <w:pPr>
        <w:spacing w:after="0" w:line="240" w:lineRule="auto"/>
        <w:ind w:firstLine="720"/>
        <w:contextualSpacing/>
        <w:jc w:val="both"/>
        <w:rPr>
          <w:rFonts w:ascii="Times New Roman" w:eastAsia="Times New Roman" w:hAnsi="Times New Roman" w:cs="Times New Roman"/>
          <w:color w:val="000000"/>
          <w:sz w:val="20"/>
          <w:szCs w:val="20"/>
        </w:rPr>
      </w:pPr>
    </w:p>
    <w:p w:rsidR="00E44BAA" w:rsidRDefault="00623692" w:rsidP="00A52349">
      <w:pPr>
        <w:spacing w:after="0" w:line="240" w:lineRule="auto"/>
        <w:ind w:firstLine="720"/>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E44BAA" w:rsidRPr="0019750D">
        <w:rPr>
          <w:rFonts w:ascii="Times New Roman" w:eastAsia="Times New Roman" w:hAnsi="Times New Roman" w:cs="Times New Roman"/>
          <w:color w:val="000000"/>
          <w:sz w:val="20"/>
          <w:szCs w:val="20"/>
        </w:rPr>
        <w:t>ctuarial valuations are based on certain assumptions about the current and future costs o</w:t>
      </w:r>
      <w:r w:rsidR="00F72894">
        <w:rPr>
          <w:rFonts w:ascii="Times New Roman" w:eastAsia="Times New Roman" w:hAnsi="Times New Roman" w:cs="Times New Roman"/>
          <w:color w:val="000000"/>
          <w:sz w:val="20"/>
          <w:szCs w:val="20"/>
        </w:rPr>
        <w:t xml:space="preserve">f </w:t>
      </w:r>
      <w:r w:rsidR="007C283A">
        <w:rPr>
          <w:rFonts w:ascii="Times New Roman" w:eastAsia="Times New Roman" w:hAnsi="Times New Roman" w:cs="Times New Roman"/>
          <w:color w:val="000000"/>
          <w:sz w:val="20"/>
          <w:szCs w:val="20"/>
        </w:rPr>
        <w:t xml:space="preserve">OPEBs. The actuary </w:t>
      </w:r>
      <w:r w:rsidR="00E44BAA" w:rsidRPr="0019750D">
        <w:rPr>
          <w:rFonts w:ascii="Times New Roman" w:eastAsia="Times New Roman" w:hAnsi="Times New Roman" w:cs="Times New Roman"/>
          <w:color w:val="000000"/>
          <w:sz w:val="20"/>
          <w:szCs w:val="20"/>
        </w:rPr>
        <w:t>estimate</w:t>
      </w:r>
      <w:r w:rsidR="007C283A">
        <w:rPr>
          <w:rFonts w:ascii="Times New Roman" w:eastAsia="Times New Roman" w:hAnsi="Times New Roman" w:cs="Times New Roman"/>
          <w:color w:val="000000"/>
          <w:sz w:val="20"/>
          <w:szCs w:val="20"/>
        </w:rPr>
        <w:t xml:space="preserve">s the </w:t>
      </w:r>
      <w:r w:rsidR="00E44BAA" w:rsidRPr="0019750D">
        <w:rPr>
          <w:rFonts w:ascii="Times New Roman" w:eastAsia="Times New Roman" w:hAnsi="Times New Roman" w:cs="Times New Roman"/>
          <w:color w:val="000000"/>
          <w:sz w:val="20"/>
          <w:szCs w:val="20"/>
        </w:rPr>
        <w:t>age and life span of retirees, the cost of medical claims by retirees and active e</w:t>
      </w:r>
      <w:r w:rsidR="000E0A77" w:rsidRPr="0019750D">
        <w:rPr>
          <w:rFonts w:ascii="Times New Roman" w:eastAsia="Times New Roman" w:hAnsi="Times New Roman" w:cs="Times New Roman"/>
          <w:color w:val="000000"/>
          <w:sz w:val="20"/>
          <w:szCs w:val="20"/>
        </w:rPr>
        <w:t xml:space="preserve">mployees, and the discount rate. </w:t>
      </w:r>
      <w:r w:rsidR="00E44BAA" w:rsidRPr="0019750D">
        <w:rPr>
          <w:rFonts w:ascii="Times New Roman" w:eastAsia="Times New Roman" w:hAnsi="Times New Roman" w:cs="Times New Roman"/>
          <w:color w:val="000000"/>
          <w:sz w:val="20"/>
          <w:szCs w:val="20"/>
        </w:rPr>
        <w:t>GASB 45 requires that government’s actuarial valuations include the following liabilities:</w:t>
      </w:r>
    </w:p>
    <w:p w:rsidR="007C283A" w:rsidRPr="0019750D" w:rsidRDefault="007C283A" w:rsidP="00A52349">
      <w:pPr>
        <w:spacing w:after="0" w:line="240" w:lineRule="auto"/>
        <w:ind w:firstLine="720"/>
        <w:contextualSpacing/>
        <w:jc w:val="both"/>
        <w:rPr>
          <w:rFonts w:ascii="Times New Roman" w:eastAsia="Times New Roman" w:hAnsi="Times New Roman" w:cs="Times New Roman"/>
          <w:color w:val="000000"/>
          <w:sz w:val="20"/>
          <w:szCs w:val="20"/>
        </w:rPr>
      </w:pPr>
    </w:p>
    <w:p w:rsidR="00E44BAA" w:rsidRDefault="0019445A" w:rsidP="00A52349">
      <w:pPr>
        <w:spacing w:after="0" w:line="240" w:lineRule="auto"/>
        <w:ind w:firstLine="720"/>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00E44BAA" w:rsidRPr="0019750D">
        <w:rPr>
          <w:rFonts w:ascii="Times New Roman" w:eastAsia="Times New Roman" w:hAnsi="Times New Roman" w:cs="Times New Roman"/>
          <w:color w:val="000000"/>
          <w:sz w:val="20"/>
          <w:szCs w:val="20"/>
        </w:rPr>
        <w:t>Actuarial Accrued Liability (AAL) – this account is the present value of the future benefits attributable to prior years of service. The unfunded portion of the AAL is referred to</w:t>
      </w:r>
      <w:r w:rsidR="007C283A">
        <w:rPr>
          <w:rFonts w:ascii="Times New Roman" w:eastAsia="Times New Roman" w:hAnsi="Times New Roman" w:cs="Times New Roman"/>
          <w:color w:val="000000"/>
          <w:sz w:val="20"/>
          <w:szCs w:val="20"/>
        </w:rPr>
        <w:t xml:space="preserve"> </w:t>
      </w:r>
      <w:r w:rsidR="00623692">
        <w:rPr>
          <w:rFonts w:ascii="Times New Roman" w:eastAsia="Times New Roman" w:hAnsi="Times New Roman" w:cs="Times New Roman"/>
          <w:color w:val="000000"/>
          <w:sz w:val="20"/>
          <w:szCs w:val="20"/>
        </w:rPr>
        <w:t xml:space="preserve">as </w:t>
      </w:r>
      <w:r w:rsidR="007C283A">
        <w:rPr>
          <w:rFonts w:ascii="Times New Roman" w:eastAsia="Times New Roman" w:hAnsi="Times New Roman" w:cs="Times New Roman"/>
          <w:color w:val="000000"/>
          <w:sz w:val="20"/>
          <w:szCs w:val="20"/>
        </w:rPr>
        <w:t xml:space="preserve">UAAL. The AAL and UAAL are not </w:t>
      </w:r>
      <w:r w:rsidR="00E44BAA" w:rsidRPr="0019750D">
        <w:rPr>
          <w:rFonts w:ascii="Times New Roman" w:eastAsia="Times New Roman" w:hAnsi="Times New Roman" w:cs="Times New Roman"/>
          <w:color w:val="000000"/>
          <w:sz w:val="20"/>
          <w:szCs w:val="20"/>
        </w:rPr>
        <w:t xml:space="preserve">reported as a liability on the governments’ financial </w:t>
      </w:r>
      <w:r w:rsidR="007C283A" w:rsidRPr="0019750D">
        <w:rPr>
          <w:rFonts w:ascii="Times New Roman" w:eastAsia="Times New Roman" w:hAnsi="Times New Roman" w:cs="Times New Roman"/>
          <w:color w:val="000000"/>
          <w:sz w:val="20"/>
          <w:szCs w:val="20"/>
        </w:rPr>
        <w:t>s</w:t>
      </w:r>
      <w:r w:rsidR="007C283A">
        <w:rPr>
          <w:rFonts w:ascii="Times New Roman" w:eastAsia="Times New Roman" w:hAnsi="Times New Roman" w:cs="Times New Roman"/>
          <w:color w:val="000000"/>
          <w:sz w:val="20"/>
          <w:szCs w:val="20"/>
        </w:rPr>
        <w:t>tatements; however, they are</w:t>
      </w:r>
      <w:r w:rsidR="00E44BAA" w:rsidRPr="0019750D">
        <w:rPr>
          <w:rFonts w:ascii="Times New Roman" w:eastAsia="Times New Roman" w:hAnsi="Times New Roman" w:cs="Times New Roman"/>
          <w:color w:val="000000"/>
          <w:sz w:val="20"/>
          <w:szCs w:val="20"/>
        </w:rPr>
        <w:t xml:space="preserve"> disclosed in the notes to the financial statements. The AAL is compared to the ac</w:t>
      </w:r>
      <w:r w:rsidR="007C283A">
        <w:rPr>
          <w:rFonts w:ascii="Times New Roman" w:eastAsia="Times New Roman" w:hAnsi="Times New Roman" w:cs="Times New Roman"/>
          <w:color w:val="000000"/>
          <w:sz w:val="20"/>
          <w:szCs w:val="20"/>
        </w:rPr>
        <w:t xml:space="preserve">tuarial value of </w:t>
      </w:r>
      <w:r w:rsidR="00623692">
        <w:rPr>
          <w:rFonts w:ascii="Times New Roman" w:eastAsia="Times New Roman" w:hAnsi="Times New Roman" w:cs="Times New Roman"/>
          <w:color w:val="000000"/>
          <w:sz w:val="20"/>
          <w:szCs w:val="20"/>
        </w:rPr>
        <w:t xml:space="preserve">the </w:t>
      </w:r>
      <w:r w:rsidR="007C283A">
        <w:rPr>
          <w:rFonts w:ascii="Times New Roman" w:eastAsia="Times New Roman" w:hAnsi="Times New Roman" w:cs="Times New Roman"/>
          <w:color w:val="000000"/>
          <w:sz w:val="20"/>
          <w:szCs w:val="20"/>
        </w:rPr>
        <w:t>plan assets. I</w:t>
      </w:r>
      <w:r w:rsidR="00E44BAA" w:rsidRPr="0019750D">
        <w:rPr>
          <w:rFonts w:ascii="Times New Roman" w:eastAsia="Times New Roman" w:hAnsi="Times New Roman" w:cs="Times New Roman"/>
          <w:color w:val="000000"/>
          <w:sz w:val="20"/>
          <w:szCs w:val="20"/>
        </w:rPr>
        <w:t>f the AAL is greater than the actuaria</w:t>
      </w:r>
      <w:r w:rsidR="007C283A">
        <w:rPr>
          <w:rFonts w:ascii="Times New Roman" w:eastAsia="Times New Roman" w:hAnsi="Times New Roman" w:cs="Times New Roman"/>
          <w:color w:val="000000"/>
          <w:sz w:val="20"/>
          <w:szCs w:val="20"/>
        </w:rPr>
        <w:t xml:space="preserve">l value of </w:t>
      </w:r>
      <w:r w:rsidR="00623692">
        <w:rPr>
          <w:rFonts w:ascii="Times New Roman" w:eastAsia="Times New Roman" w:hAnsi="Times New Roman" w:cs="Times New Roman"/>
          <w:color w:val="000000"/>
          <w:sz w:val="20"/>
          <w:szCs w:val="20"/>
        </w:rPr>
        <w:t xml:space="preserve">the </w:t>
      </w:r>
      <w:r w:rsidR="007C283A">
        <w:rPr>
          <w:rFonts w:ascii="Times New Roman" w:eastAsia="Times New Roman" w:hAnsi="Times New Roman" w:cs="Times New Roman"/>
          <w:color w:val="000000"/>
          <w:sz w:val="20"/>
          <w:szCs w:val="20"/>
        </w:rPr>
        <w:t>plan assets, the result is</w:t>
      </w:r>
      <w:r w:rsidR="00E44BAA" w:rsidRPr="0019750D">
        <w:rPr>
          <w:rFonts w:ascii="Times New Roman" w:eastAsia="Times New Roman" w:hAnsi="Times New Roman" w:cs="Times New Roman"/>
          <w:color w:val="000000"/>
          <w:sz w:val="20"/>
          <w:szCs w:val="20"/>
        </w:rPr>
        <w:t xml:space="preserve"> a</w:t>
      </w:r>
      <w:r w:rsidR="007C283A">
        <w:rPr>
          <w:rFonts w:ascii="Times New Roman" w:eastAsia="Times New Roman" w:hAnsi="Times New Roman" w:cs="Times New Roman"/>
          <w:color w:val="000000"/>
          <w:sz w:val="20"/>
          <w:szCs w:val="20"/>
        </w:rPr>
        <w:t>n</w:t>
      </w:r>
      <w:r w:rsidR="00E44BAA" w:rsidRPr="0019750D">
        <w:rPr>
          <w:rFonts w:ascii="Times New Roman" w:eastAsia="Times New Roman" w:hAnsi="Times New Roman" w:cs="Times New Roman"/>
          <w:color w:val="000000"/>
          <w:sz w:val="20"/>
          <w:szCs w:val="20"/>
        </w:rPr>
        <w:t xml:space="preserve"> UAAL. </w:t>
      </w:r>
    </w:p>
    <w:p w:rsidR="007C283A" w:rsidRPr="0019750D" w:rsidRDefault="007C283A" w:rsidP="00A52349">
      <w:pPr>
        <w:spacing w:after="0" w:line="240" w:lineRule="auto"/>
        <w:ind w:firstLine="720"/>
        <w:contextualSpacing/>
        <w:jc w:val="both"/>
        <w:rPr>
          <w:rFonts w:ascii="Times New Roman" w:eastAsia="Times New Roman" w:hAnsi="Times New Roman" w:cs="Times New Roman"/>
          <w:color w:val="000000"/>
          <w:sz w:val="20"/>
          <w:szCs w:val="20"/>
        </w:rPr>
      </w:pPr>
    </w:p>
    <w:p w:rsidR="00E44BAA" w:rsidRPr="0019445A" w:rsidRDefault="0019445A" w:rsidP="0019445A">
      <w:pPr>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sidR="00E44BAA" w:rsidRPr="0019445A">
        <w:rPr>
          <w:rFonts w:ascii="Times New Roman" w:eastAsia="Times New Roman" w:hAnsi="Times New Roman" w:cs="Times New Roman"/>
          <w:color w:val="000000"/>
          <w:sz w:val="20"/>
          <w:szCs w:val="20"/>
        </w:rPr>
        <w:t xml:space="preserve">Annually Required Contribution (ARC) – the amount of money the employer is required to contribute to the retiree benefit plans with adjustments for the cumulative under- or overfunding in previous years. The ARC is composed of two parts: (1) the normal cost for the year, which in turn comprises two elements: (a) liabilities for current retirees (under </w:t>
      </w:r>
      <w:r w:rsidR="00F72894">
        <w:rPr>
          <w:rFonts w:ascii="Times New Roman" w:eastAsia="Times New Roman" w:hAnsi="Times New Roman" w:cs="Times New Roman"/>
          <w:color w:val="000000"/>
          <w:sz w:val="20"/>
          <w:szCs w:val="20"/>
        </w:rPr>
        <w:t xml:space="preserve">pay-as-you-go </w:t>
      </w:r>
      <w:r w:rsidR="00E44BAA" w:rsidRPr="0019445A">
        <w:rPr>
          <w:rFonts w:ascii="Times New Roman" w:eastAsia="Times New Roman" w:hAnsi="Times New Roman" w:cs="Times New Roman"/>
          <w:color w:val="000000"/>
          <w:sz w:val="20"/>
          <w:szCs w:val="20"/>
        </w:rPr>
        <w:t>accounting) and (b) the present value of future benefits earned by active employees during that year, and (2) the amortized portion of the AAL</w:t>
      </w:r>
      <w:r w:rsidR="00623692">
        <w:rPr>
          <w:rFonts w:ascii="Times New Roman" w:eastAsia="Times New Roman" w:hAnsi="Times New Roman" w:cs="Times New Roman"/>
          <w:color w:val="000000"/>
          <w:sz w:val="20"/>
          <w:szCs w:val="20"/>
        </w:rPr>
        <w:t>.</w:t>
      </w:r>
      <w:r w:rsidR="007C283A">
        <w:rPr>
          <w:rFonts w:ascii="Times New Roman" w:eastAsia="Times New Roman" w:hAnsi="Times New Roman" w:cs="Times New Roman"/>
          <w:color w:val="000000"/>
          <w:sz w:val="20"/>
          <w:szCs w:val="20"/>
        </w:rPr>
        <w:t xml:space="preserve"> </w:t>
      </w:r>
    </w:p>
    <w:p w:rsidR="00E44BAA" w:rsidRPr="0019445A" w:rsidRDefault="00E44BAA" w:rsidP="0019445A">
      <w:pPr>
        <w:pStyle w:val="ListParagraph"/>
        <w:spacing w:after="0" w:line="240" w:lineRule="auto"/>
        <w:jc w:val="both"/>
        <w:rPr>
          <w:rFonts w:ascii="Times New Roman" w:eastAsia="Times New Roman" w:hAnsi="Times New Roman" w:cs="Times New Roman"/>
          <w:color w:val="000000"/>
          <w:sz w:val="20"/>
          <w:szCs w:val="20"/>
        </w:rPr>
      </w:pPr>
    </w:p>
    <w:p w:rsidR="00E44BAA" w:rsidRDefault="007645A4" w:rsidP="0019445A">
      <w:pPr>
        <w:spacing w:after="0" w:line="240" w:lineRule="auto"/>
        <w:ind w:firstLine="720"/>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Due to these</w:t>
      </w:r>
      <w:r w:rsidR="00E44BAA" w:rsidRPr="0019750D">
        <w:rPr>
          <w:rFonts w:ascii="Times New Roman" w:eastAsia="Times New Roman" w:hAnsi="Times New Roman" w:cs="Times New Roman"/>
          <w:color w:val="000000"/>
          <w:sz w:val="20"/>
          <w:szCs w:val="20"/>
        </w:rPr>
        <w:t xml:space="preserve"> significant change</w:t>
      </w:r>
      <w:r>
        <w:rPr>
          <w:rFonts w:ascii="Times New Roman" w:eastAsia="Times New Roman" w:hAnsi="Times New Roman" w:cs="Times New Roman"/>
          <w:color w:val="000000"/>
          <w:sz w:val="20"/>
          <w:szCs w:val="20"/>
        </w:rPr>
        <w:t>s</w:t>
      </w:r>
      <w:r w:rsidR="007C283A">
        <w:rPr>
          <w:rFonts w:ascii="Times New Roman" w:eastAsia="Times New Roman" w:hAnsi="Times New Roman" w:cs="Times New Roman"/>
          <w:color w:val="000000"/>
          <w:sz w:val="20"/>
          <w:szCs w:val="20"/>
        </w:rPr>
        <w:t xml:space="preserve"> in financial reporting</w:t>
      </w:r>
      <w:r w:rsidR="00E44BAA" w:rsidRPr="0019750D">
        <w:rPr>
          <w:rFonts w:ascii="Times New Roman" w:eastAsia="Times New Roman" w:hAnsi="Times New Roman" w:cs="Times New Roman"/>
          <w:color w:val="000000"/>
          <w:sz w:val="20"/>
          <w:szCs w:val="20"/>
        </w:rPr>
        <w:t xml:space="preserve">, many governments </w:t>
      </w:r>
      <w:r w:rsidR="007C283A">
        <w:rPr>
          <w:rFonts w:ascii="Times New Roman" w:eastAsia="Times New Roman" w:hAnsi="Times New Roman" w:cs="Times New Roman"/>
          <w:color w:val="000000"/>
          <w:sz w:val="20"/>
          <w:szCs w:val="20"/>
        </w:rPr>
        <w:t>now have</w:t>
      </w:r>
      <w:r w:rsidR="00E44BAA" w:rsidRPr="0019750D">
        <w:rPr>
          <w:rFonts w:ascii="Times New Roman" w:eastAsia="Times New Roman" w:hAnsi="Times New Roman" w:cs="Times New Roman"/>
          <w:color w:val="000000"/>
          <w:sz w:val="20"/>
          <w:szCs w:val="20"/>
        </w:rPr>
        <w:t xml:space="preserve"> substantial liabilities on their balance sheets.</w:t>
      </w:r>
      <w:r w:rsidR="00E44BAA" w:rsidRPr="0019750D">
        <w:rPr>
          <w:rFonts w:ascii="Times New Roman" w:hAnsi="Times New Roman" w:cs="Times New Roman"/>
          <w:sz w:val="20"/>
          <w:szCs w:val="20"/>
        </w:rPr>
        <w:t xml:space="preserve"> </w:t>
      </w:r>
      <w:r w:rsidR="00087619" w:rsidRPr="0019750D">
        <w:rPr>
          <w:rFonts w:ascii="Times New Roman" w:eastAsia="Times New Roman" w:hAnsi="Times New Roman" w:cs="Times New Roman"/>
          <w:color w:val="000000"/>
          <w:sz w:val="20"/>
          <w:szCs w:val="20"/>
        </w:rPr>
        <w:t>Commentators have conjectured that GASB 45 implementation would</w:t>
      </w:r>
      <w:r w:rsidR="00E44BAA" w:rsidRPr="0019750D">
        <w:rPr>
          <w:rFonts w:ascii="Times New Roman" w:eastAsia="Times New Roman" w:hAnsi="Times New Roman" w:cs="Times New Roman"/>
          <w:color w:val="000000"/>
          <w:sz w:val="20"/>
          <w:szCs w:val="20"/>
        </w:rPr>
        <w:t xml:space="preserve"> present “difficult challenges for the U.S. economy” (Zion and Varshney</w:t>
      </w:r>
      <w:r>
        <w:rPr>
          <w:rFonts w:ascii="Times New Roman" w:eastAsia="Times New Roman" w:hAnsi="Times New Roman" w:cs="Times New Roman"/>
          <w:color w:val="000000"/>
          <w:sz w:val="20"/>
          <w:szCs w:val="20"/>
        </w:rPr>
        <w:t>, 2007, p.</w:t>
      </w:r>
      <w:r w:rsidR="00E44BAA" w:rsidRPr="0019750D">
        <w:rPr>
          <w:rFonts w:ascii="Times New Roman" w:eastAsia="Times New Roman" w:hAnsi="Times New Roman" w:cs="Times New Roman"/>
          <w:color w:val="000000"/>
          <w:sz w:val="20"/>
          <w:szCs w:val="20"/>
        </w:rPr>
        <w:t xml:space="preserve"> 3). This bold statement stems from a known issue that the economic stat</w:t>
      </w:r>
      <w:r>
        <w:rPr>
          <w:rFonts w:ascii="Times New Roman" w:eastAsia="Times New Roman" w:hAnsi="Times New Roman" w:cs="Times New Roman"/>
          <w:color w:val="000000"/>
          <w:sz w:val="20"/>
          <w:szCs w:val="20"/>
        </w:rPr>
        <w:t>us of the United States</w:t>
      </w:r>
      <w:r w:rsidR="00E44BAA" w:rsidRPr="0019750D">
        <w:rPr>
          <w:rFonts w:ascii="Times New Roman" w:eastAsia="Times New Roman" w:hAnsi="Times New Roman" w:cs="Times New Roman"/>
          <w:color w:val="000000"/>
          <w:sz w:val="20"/>
          <w:szCs w:val="20"/>
        </w:rPr>
        <w:t xml:space="preserve"> is threatened by the rising costs of healthcare and the aging population (Zion and Varshney</w:t>
      </w:r>
      <w:r>
        <w:rPr>
          <w:rFonts w:ascii="Times New Roman" w:eastAsia="Times New Roman" w:hAnsi="Times New Roman" w:cs="Times New Roman"/>
          <w:color w:val="000000"/>
          <w:sz w:val="20"/>
          <w:szCs w:val="20"/>
        </w:rPr>
        <w:t>, 2007, p.</w:t>
      </w:r>
      <w:r w:rsidR="00623692">
        <w:rPr>
          <w:rFonts w:ascii="Times New Roman" w:eastAsia="Times New Roman" w:hAnsi="Times New Roman" w:cs="Times New Roman"/>
          <w:color w:val="000000"/>
          <w:sz w:val="20"/>
          <w:szCs w:val="20"/>
        </w:rPr>
        <w:t xml:space="preserve"> </w:t>
      </w:r>
      <w:r w:rsidR="00E44BAA" w:rsidRPr="0019750D">
        <w:rPr>
          <w:rFonts w:ascii="Times New Roman" w:eastAsia="Times New Roman" w:hAnsi="Times New Roman" w:cs="Times New Roman"/>
          <w:color w:val="000000"/>
          <w:sz w:val="20"/>
          <w:szCs w:val="20"/>
        </w:rPr>
        <w:t>3).</w:t>
      </w:r>
      <w:r w:rsidR="00087619" w:rsidRPr="0019750D">
        <w:rPr>
          <w:rFonts w:ascii="Times New Roman" w:eastAsia="Times New Roman" w:hAnsi="Times New Roman" w:cs="Times New Roman"/>
          <w:color w:val="000000"/>
          <w:sz w:val="20"/>
          <w:szCs w:val="20"/>
        </w:rPr>
        <w:t xml:space="preserve"> </w:t>
      </w:r>
      <w:r w:rsidR="0090514E">
        <w:rPr>
          <w:rFonts w:ascii="Times New Roman" w:eastAsia="Times New Roman" w:hAnsi="Times New Roman" w:cs="Times New Roman"/>
          <w:color w:val="000000"/>
          <w:sz w:val="20"/>
          <w:szCs w:val="20"/>
        </w:rPr>
        <w:t xml:space="preserve"> </w:t>
      </w:r>
      <w:r w:rsidR="00F72894">
        <w:rPr>
          <w:rFonts w:ascii="Times New Roman" w:eastAsia="Times New Roman" w:hAnsi="Times New Roman" w:cs="Times New Roman"/>
          <w:color w:val="000000"/>
          <w:sz w:val="20"/>
          <w:szCs w:val="20"/>
        </w:rPr>
        <w:t>Many g</w:t>
      </w:r>
      <w:r w:rsidR="0090514E">
        <w:rPr>
          <w:rFonts w:ascii="Times New Roman" w:eastAsia="Times New Roman" w:hAnsi="Times New Roman" w:cs="Times New Roman"/>
          <w:color w:val="000000"/>
          <w:sz w:val="20"/>
          <w:szCs w:val="20"/>
        </w:rPr>
        <w:t>overn</w:t>
      </w:r>
      <w:r w:rsidR="00F72894">
        <w:rPr>
          <w:rFonts w:ascii="Times New Roman" w:eastAsia="Times New Roman" w:hAnsi="Times New Roman" w:cs="Times New Roman"/>
          <w:color w:val="000000"/>
          <w:sz w:val="20"/>
          <w:szCs w:val="20"/>
        </w:rPr>
        <w:t>mental financial statements have been negatively</w:t>
      </w:r>
      <w:r w:rsidR="0090514E">
        <w:rPr>
          <w:rFonts w:ascii="Times New Roman" w:eastAsia="Times New Roman" w:hAnsi="Times New Roman" w:cs="Times New Roman"/>
          <w:color w:val="000000"/>
          <w:sz w:val="20"/>
          <w:szCs w:val="20"/>
        </w:rPr>
        <w:t xml:space="preserve"> impacted, as their l</w:t>
      </w:r>
      <w:r>
        <w:rPr>
          <w:rFonts w:ascii="Times New Roman" w:eastAsia="Times New Roman" w:hAnsi="Times New Roman" w:cs="Times New Roman"/>
          <w:color w:val="000000"/>
          <w:sz w:val="20"/>
          <w:szCs w:val="20"/>
        </w:rPr>
        <w:t>iabilities were</w:t>
      </w:r>
      <w:r w:rsidR="0090514E">
        <w:rPr>
          <w:rFonts w:ascii="Times New Roman" w:eastAsia="Times New Roman" w:hAnsi="Times New Roman" w:cs="Times New Roman"/>
          <w:color w:val="000000"/>
          <w:sz w:val="20"/>
          <w:szCs w:val="20"/>
        </w:rPr>
        <w:t xml:space="preserve"> increased and became</w:t>
      </w:r>
      <w:r>
        <w:rPr>
          <w:rFonts w:ascii="Times New Roman" w:eastAsia="Times New Roman" w:hAnsi="Times New Roman" w:cs="Times New Roman"/>
          <w:color w:val="000000"/>
          <w:sz w:val="20"/>
          <w:szCs w:val="20"/>
        </w:rPr>
        <w:t xml:space="preserve"> more visible to stakeholders</w:t>
      </w:r>
      <w:r w:rsidR="0090514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90514E">
        <w:rPr>
          <w:rFonts w:ascii="Times New Roman" w:eastAsia="Times New Roman" w:hAnsi="Times New Roman" w:cs="Times New Roman"/>
          <w:color w:val="000000"/>
          <w:sz w:val="20"/>
          <w:szCs w:val="20"/>
        </w:rPr>
        <w:t>As a result, many employers decided</w:t>
      </w:r>
      <w:r w:rsidR="00E44BAA" w:rsidRPr="0019750D">
        <w:rPr>
          <w:rFonts w:ascii="Times New Roman" w:eastAsia="Times New Roman" w:hAnsi="Times New Roman" w:cs="Times New Roman"/>
          <w:color w:val="000000"/>
          <w:sz w:val="20"/>
          <w:szCs w:val="20"/>
        </w:rPr>
        <w:t xml:space="preserve"> to cut costs or increase taxes in order to meet the obligat</w:t>
      </w:r>
      <w:r w:rsidR="00723FEE">
        <w:rPr>
          <w:rFonts w:ascii="Times New Roman" w:eastAsia="Times New Roman" w:hAnsi="Times New Roman" w:cs="Times New Roman"/>
          <w:color w:val="000000"/>
          <w:sz w:val="20"/>
          <w:szCs w:val="20"/>
        </w:rPr>
        <w:t>ions brought to light by this standard</w:t>
      </w:r>
      <w:r w:rsidR="00E44BAA" w:rsidRPr="0019750D">
        <w:rPr>
          <w:rFonts w:ascii="Times New Roman" w:eastAsia="Times New Roman" w:hAnsi="Times New Roman" w:cs="Times New Roman"/>
          <w:color w:val="000000"/>
          <w:sz w:val="20"/>
          <w:szCs w:val="20"/>
        </w:rPr>
        <w:t>.</w:t>
      </w:r>
      <w:r w:rsidR="00087619" w:rsidRPr="0019750D">
        <w:rPr>
          <w:rFonts w:ascii="Times New Roman" w:eastAsia="Times New Roman" w:hAnsi="Times New Roman" w:cs="Times New Roman"/>
          <w:color w:val="000000"/>
          <w:sz w:val="20"/>
          <w:szCs w:val="20"/>
        </w:rPr>
        <w:t xml:space="preserve"> Some</w:t>
      </w:r>
      <w:r w:rsidR="00E44BAA" w:rsidRPr="0019750D">
        <w:rPr>
          <w:rFonts w:ascii="Times New Roman" w:eastAsia="Times New Roman" w:hAnsi="Times New Roman" w:cs="Times New Roman"/>
          <w:color w:val="000000"/>
          <w:sz w:val="20"/>
          <w:szCs w:val="20"/>
        </w:rPr>
        <w:t xml:space="preserve"> employers reduce</w:t>
      </w:r>
      <w:r w:rsidR="00087619" w:rsidRPr="0019750D">
        <w:rPr>
          <w:rFonts w:ascii="Times New Roman" w:eastAsia="Times New Roman" w:hAnsi="Times New Roman" w:cs="Times New Roman"/>
          <w:color w:val="000000"/>
          <w:sz w:val="20"/>
          <w:szCs w:val="20"/>
        </w:rPr>
        <w:t>d</w:t>
      </w:r>
      <w:r w:rsidR="0090514E">
        <w:rPr>
          <w:rFonts w:ascii="Times New Roman" w:eastAsia="Times New Roman" w:hAnsi="Times New Roman" w:cs="Times New Roman"/>
          <w:color w:val="000000"/>
          <w:sz w:val="20"/>
          <w:szCs w:val="20"/>
        </w:rPr>
        <w:t xml:space="preserve"> retiree</w:t>
      </w:r>
      <w:r w:rsidR="00E44BAA" w:rsidRPr="0019750D">
        <w:rPr>
          <w:rFonts w:ascii="Times New Roman" w:eastAsia="Times New Roman" w:hAnsi="Times New Roman" w:cs="Times New Roman"/>
          <w:color w:val="000000"/>
          <w:sz w:val="20"/>
          <w:szCs w:val="20"/>
        </w:rPr>
        <w:t>s</w:t>
      </w:r>
      <w:r w:rsidR="0090514E">
        <w:rPr>
          <w:rFonts w:ascii="Times New Roman" w:eastAsia="Times New Roman" w:hAnsi="Times New Roman" w:cs="Times New Roman"/>
          <w:color w:val="000000"/>
          <w:sz w:val="20"/>
          <w:szCs w:val="20"/>
        </w:rPr>
        <w:t>’</w:t>
      </w:r>
      <w:r w:rsidR="00E44BAA" w:rsidRPr="0019750D">
        <w:rPr>
          <w:rFonts w:ascii="Times New Roman" w:eastAsia="Times New Roman" w:hAnsi="Times New Roman" w:cs="Times New Roman"/>
          <w:color w:val="000000"/>
          <w:sz w:val="20"/>
          <w:szCs w:val="20"/>
        </w:rPr>
        <w:t xml:space="preserve"> medical cost</w:t>
      </w:r>
      <w:r w:rsidR="0090514E">
        <w:rPr>
          <w:rFonts w:ascii="Times New Roman" w:eastAsia="Times New Roman" w:hAnsi="Times New Roman" w:cs="Times New Roman"/>
          <w:color w:val="000000"/>
          <w:sz w:val="20"/>
          <w:szCs w:val="20"/>
        </w:rPr>
        <w:t>s</w:t>
      </w:r>
      <w:r w:rsidR="00E44BAA" w:rsidRPr="0019750D">
        <w:rPr>
          <w:rFonts w:ascii="Times New Roman" w:eastAsia="Times New Roman" w:hAnsi="Times New Roman" w:cs="Times New Roman"/>
          <w:color w:val="000000"/>
          <w:sz w:val="20"/>
          <w:szCs w:val="20"/>
        </w:rPr>
        <w:t xml:space="preserve"> by implementing and encouraging participation in wellness programs, disease management programs and prevention programs which essentially prevent the occurrence diseases and other serious illnesses that are more costly to treat once they have developed (Thoen and Wade 2008). This cost reducing option is a le</w:t>
      </w:r>
      <w:r w:rsidR="0090514E">
        <w:rPr>
          <w:rFonts w:ascii="Times New Roman" w:eastAsia="Times New Roman" w:hAnsi="Times New Roman" w:cs="Times New Roman"/>
          <w:color w:val="000000"/>
          <w:sz w:val="20"/>
          <w:szCs w:val="20"/>
        </w:rPr>
        <w:t xml:space="preserve">ss harsh way that employers </w:t>
      </w:r>
      <w:r w:rsidR="00E44BAA" w:rsidRPr="0019750D">
        <w:rPr>
          <w:rFonts w:ascii="Times New Roman" w:eastAsia="Times New Roman" w:hAnsi="Times New Roman" w:cs="Times New Roman"/>
          <w:color w:val="000000"/>
          <w:sz w:val="20"/>
          <w:szCs w:val="20"/>
        </w:rPr>
        <w:t>reduce</w:t>
      </w:r>
      <w:r w:rsidR="0090514E">
        <w:rPr>
          <w:rFonts w:ascii="Times New Roman" w:eastAsia="Times New Roman" w:hAnsi="Times New Roman" w:cs="Times New Roman"/>
          <w:color w:val="000000"/>
          <w:sz w:val="20"/>
          <w:szCs w:val="20"/>
        </w:rPr>
        <w:t>d</w:t>
      </w:r>
      <w:r w:rsidR="00E44BAA" w:rsidRPr="0019750D">
        <w:rPr>
          <w:rFonts w:ascii="Times New Roman" w:eastAsia="Times New Roman" w:hAnsi="Times New Roman" w:cs="Times New Roman"/>
          <w:color w:val="000000"/>
          <w:sz w:val="20"/>
          <w:szCs w:val="20"/>
        </w:rPr>
        <w:t xml:space="preserve"> c</w:t>
      </w:r>
      <w:r w:rsidR="0090514E">
        <w:rPr>
          <w:rFonts w:ascii="Times New Roman" w:eastAsia="Times New Roman" w:hAnsi="Times New Roman" w:cs="Times New Roman"/>
          <w:color w:val="000000"/>
          <w:sz w:val="20"/>
          <w:szCs w:val="20"/>
        </w:rPr>
        <w:t>osts without drastically impacting</w:t>
      </w:r>
      <w:r w:rsidR="00E44BAA" w:rsidRPr="0019750D">
        <w:rPr>
          <w:rFonts w:ascii="Times New Roman" w:eastAsia="Times New Roman" w:hAnsi="Times New Roman" w:cs="Times New Roman"/>
          <w:color w:val="000000"/>
          <w:sz w:val="20"/>
          <w:szCs w:val="20"/>
        </w:rPr>
        <w:t xml:space="preserve"> the benefits employees re</w:t>
      </w:r>
      <w:r w:rsidR="0090514E">
        <w:rPr>
          <w:rFonts w:ascii="Times New Roman" w:eastAsia="Times New Roman" w:hAnsi="Times New Roman" w:cs="Times New Roman"/>
          <w:color w:val="000000"/>
          <w:sz w:val="20"/>
          <w:szCs w:val="20"/>
        </w:rPr>
        <w:t>ceived. Some government employers insisted</w:t>
      </w:r>
      <w:r w:rsidR="00E44BAA" w:rsidRPr="0019750D">
        <w:rPr>
          <w:rFonts w:ascii="Times New Roman" w:eastAsia="Times New Roman" w:hAnsi="Times New Roman" w:cs="Times New Roman"/>
          <w:color w:val="000000"/>
          <w:sz w:val="20"/>
          <w:szCs w:val="20"/>
        </w:rPr>
        <w:t xml:space="preserve"> that employees share the health care costs in order to reduce their overall expense. As the cost of heal</w:t>
      </w:r>
      <w:r w:rsidR="0090514E">
        <w:rPr>
          <w:rFonts w:ascii="Times New Roman" w:eastAsia="Times New Roman" w:hAnsi="Times New Roman" w:cs="Times New Roman"/>
          <w:color w:val="000000"/>
          <w:sz w:val="20"/>
          <w:szCs w:val="20"/>
        </w:rPr>
        <w:t>th care increases over time, some</w:t>
      </w:r>
      <w:r w:rsidR="00E44BAA" w:rsidRPr="0019750D">
        <w:rPr>
          <w:rFonts w:ascii="Times New Roman" w:eastAsia="Times New Roman" w:hAnsi="Times New Roman" w:cs="Times New Roman"/>
          <w:color w:val="000000"/>
          <w:sz w:val="20"/>
          <w:szCs w:val="20"/>
        </w:rPr>
        <w:t xml:space="preserve"> employer</w:t>
      </w:r>
      <w:r w:rsidR="0090514E">
        <w:rPr>
          <w:rFonts w:ascii="Times New Roman" w:eastAsia="Times New Roman" w:hAnsi="Times New Roman" w:cs="Times New Roman"/>
          <w:color w:val="000000"/>
          <w:sz w:val="20"/>
          <w:szCs w:val="20"/>
        </w:rPr>
        <w:t xml:space="preserve">s </w:t>
      </w:r>
      <w:r w:rsidR="00E44BAA" w:rsidRPr="0019750D">
        <w:rPr>
          <w:rFonts w:ascii="Times New Roman" w:eastAsia="Times New Roman" w:hAnsi="Times New Roman" w:cs="Times New Roman"/>
          <w:color w:val="000000"/>
          <w:sz w:val="20"/>
          <w:szCs w:val="20"/>
        </w:rPr>
        <w:t>implement</w:t>
      </w:r>
      <w:r w:rsidR="0090514E">
        <w:rPr>
          <w:rFonts w:ascii="Times New Roman" w:eastAsia="Times New Roman" w:hAnsi="Times New Roman" w:cs="Times New Roman"/>
          <w:color w:val="000000"/>
          <w:sz w:val="20"/>
          <w:szCs w:val="20"/>
        </w:rPr>
        <w:t>ed</w:t>
      </w:r>
      <w:r w:rsidR="00E44BAA" w:rsidRPr="0019750D">
        <w:rPr>
          <w:rFonts w:ascii="Times New Roman" w:eastAsia="Times New Roman" w:hAnsi="Times New Roman" w:cs="Times New Roman"/>
          <w:color w:val="000000"/>
          <w:sz w:val="20"/>
          <w:szCs w:val="20"/>
        </w:rPr>
        <w:t xml:space="preserve"> a claus</w:t>
      </w:r>
      <w:r w:rsidR="00623692">
        <w:rPr>
          <w:rFonts w:ascii="Times New Roman" w:eastAsia="Times New Roman" w:hAnsi="Times New Roman" w:cs="Times New Roman"/>
          <w:color w:val="000000"/>
          <w:sz w:val="20"/>
          <w:szCs w:val="20"/>
        </w:rPr>
        <w:t>e that restricted</w:t>
      </w:r>
      <w:r w:rsidR="00E44BAA" w:rsidRPr="0019750D">
        <w:rPr>
          <w:rFonts w:ascii="Times New Roman" w:eastAsia="Times New Roman" w:hAnsi="Times New Roman" w:cs="Times New Roman"/>
          <w:color w:val="000000"/>
          <w:sz w:val="20"/>
          <w:szCs w:val="20"/>
        </w:rPr>
        <w:t xml:space="preserve"> the amount of money they will pay in light of inflation or restrict</w:t>
      </w:r>
      <w:r w:rsidR="0090514E">
        <w:rPr>
          <w:rFonts w:ascii="Times New Roman" w:eastAsia="Times New Roman" w:hAnsi="Times New Roman" w:cs="Times New Roman"/>
          <w:color w:val="000000"/>
          <w:sz w:val="20"/>
          <w:szCs w:val="20"/>
        </w:rPr>
        <w:t>ed</w:t>
      </w:r>
      <w:r w:rsidR="00E44BAA" w:rsidRPr="0019750D">
        <w:rPr>
          <w:rFonts w:ascii="Times New Roman" w:eastAsia="Times New Roman" w:hAnsi="Times New Roman" w:cs="Times New Roman"/>
          <w:color w:val="000000"/>
          <w:sz w:val="20"/>
          <w:szCs w:val="20"/>
        </w:rPr>
        <w:t xml:space="preserve"> the percentage increase on health care costs t</w:t>
      </w:r>
      <w:r w:rsidR="0090514E">
        <w:rPr>
          <w:rFonts w:ascii="Times New Roman" w:eastAsia="Times New Roman" w:hAnsi="Times New Roman" w:cs="Times New Roman"/>
          <w:color w:val="000000"/>
          <w:sz w:val="20"/>
          <w:szCs w:val="20"/>
        </w:rPr>
        <w:t>hat they are</w:t>
      </w:r>
      <w:r w:rsidR="0019445A">
        <w:rPr>
          <w:rFonts w:ascii="Times New Roman" w:eastAsia="Times New Roman" w:hAnsi="Times New Roman" w:cs="Times New Roman"/>
          <w:color w:val="000000"/>
          <w:sz w:val="20"/>
          <w:szCs w:val="20"/>
        </w:rPr>
        <w:t xml:space="preserve"> willing to pay.</w:t>
      </w:r>
    </w:p>
    <w:p w:rsidR="0019445A" w:rsidRPr="0019445A" w:rsidRDefault="0019445A" w:rsidP="0019445A">
      <w:pPr>
        <w:spacing w:after="0" w:line="240" w:lineRule="auto"/>
        <w:ind w:firstLine="720"/>
        <w:contextualSpacing/>
        <w:jc w:val="both"/>
        <w:rPr>
          <w:rFonts w:ascii="Times New Roman" w:hAnsi="Times New Roman" w:cs="Times New Roman"/>
          <w:sz w:val="20"/>
          <w:szCs w:val="20"/>
        </w:rPr>
      </w:pPr>
    </w:p>
    <w:p w:rsidR="00E44BAA" w:rsidRDefault="0090514E" w:rsidP="0019750D">
      <w:pPr>
        <w:spacing w:after="0" w:line="240" w:lineRule="auto"/>
        <w:ind w:firstLine="720"/>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Some governments</w:t>
      </w:r>
      <w:r w:rsidR="00E44BAA" w:rsidRPr="0019750D">
        <w:rPr>
          <w:rFonts w:ascii="Times New Roman" w:eastAsia="Times New Roman" w:hAnsi="Times New Roman" w:cs="Times New Roman"/>
          <w:color w:val="000000"/>
          <w:sz w:val="20"/>
          <w:szCs w:val="20"/>
        </w:rPr>
        <w:t xml:space="preserve"> reduce</w:t>
      </w:r>
      <w:r w:rsidR="00087619" w:rsidRPr="0019750D">
        <w:rPr>
          <w:rFonts w:ascii="Times New Roman" w:eastAsia="Times New Roman" w:hAnsi="Times New Roman" w:cs="Times New Roman"/>
          <w:color w:val="000000"/>
          <w:sz w:val="20"/>
          <w:szCs w:val="20"/>
        </w:rPr>
        <w:t>d</w:t>
      </w:r>
      <w:r w:rsidR="00E44BAA" w:rsidRPr="0019750D">
        <w:rPr>
          <w:rFonts w:ascii="Times New Roman" w:eastAsia="Times New Roman" w:hAnsi="Times New Roman" w:cs="Times New Roman"/>
          <w:color w:val="000000"/>
          <w:sz w:val="20"/>
          <w:szCs w:val="20"/>
        </w:rPr>
        <w:t xml:space="preserve"> costs by eliminating certain groups from reapin</w:t>
      </w:r>
      <w:r>
        <w:rPr>
          <w:rFonts w:ascii="Times New Roman" w:eastAsia="Times New Roman" w:hAnsi="Times New Roman" w:cs="Times New Roman"/>
          <w:color w:val="000000"/>
          <w:sz w:val="20"/>
          <w:szCs w:val="20"/>
        </w:rPr>
        <w:t>g certain benefits. Changing the requirements for eligibility for benefits did this;</w:t>
      </w:r>
      <w:r w:rsidR="00E44BAA" w:rsidRPr="0019750D">
        <w:rPr>
          <w:rFonts w:ascii="Times New Roman" w:eastAsia="Times New Roman" w:hAnsi="Times New Roman" w:cs="Times New Roman"/>
          <w:color w:val="000000"/>
          <w:sz w:val="20"/>
          <w:szCs w:val="20"/>
        </w:rPr>
        <w:t xml:space="preserve"> “reduce-or even eliminate – benefits for early retirement or spouses” (Thoen and Wade</w:t>
      </w:r>
      <w:r>
        <w:rPr>
          <w:rFonts w:ascii="Times New Roman" w:eastAsia="Times New Roman" w:hAnsi="Times New Roman" w:cs="Times New Roman"/>
          <w:color w:val="000000"/>
          <w:sz w:val="20"/>
          <w:szCs w:val="20"/>
        </w:rPr>
        <w:t>, 2008, p.</w:t>
      </w:r>
      <w:r w:rsidR="00E44BAA" w:rsidRPr="0019750D">
        <w:rPr>
          <w:rFonts w:ascii="Times New Roman" w:eastAsia="Times New Roman" w:hAnsi="Times New Roman" w:cs="Times New Roman"/>
          <w:color w:val="000000"/>
          <w:sz w:val="20"/>
          <w:szCs w:val="20"/>
        </w:rPr>
        <w:t xml:space="preserve"> 42). </w:t>
      </w:r>
      <w:r w:rsidR="007645FD" w:rsidRPr="0019750D">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his way, the employer saved</w:t>
      </w:r>
      <w:r w:rsidR="00E44BAA" w:rsidRPr="0019750D">
        <w:rPr>
          <w:rFonts w:ascii="Times New Roman" w:eastAsia="Times New Roman" w:hAnsi="Times New Roman" w:cs="Times New Roman"/>
          <w:color w:val="000000"/>
          <w:sz w:val="20"/>
          <w:szCs w:val="20"/>
        </w:rPr>
        <w:t xml:space="preserve"> a significant amount of </w:t>
      </w:r>
      <w:r w:rsidR="00723FEE" w:rsidRPr="0019750D">
        <w:rPr>
          <w:rFonts w:ascii="Times New Roman" w:eastAsia="Times New Roman" w:hAnsi="Times New Roman" w:cs="Times New Roman"/>
          <w:color w:val="000000"/>
          <w:sz w:val="20"/>
          <w:szCs w:val="20"/>
        </w:rPr>
        <w:t>money;</w:t>
      </w:r>
      <w:r w:rsidR="00E44BAA" w:rsidRPr="0019750D">
        <w:rPr>
          <w:rFonts w:ascii="Times New Roman" w:eastAsia="Times New Roman" w:hAnsi="Times New Roman" w:cs="Times New Roman"/>
          <w:color w:val="000000"/>
          <w:sz w:val="20"/>
          <w:szCs w:val="20"/>
        </w:rPr>
        <w:t xml:space="preserve"> enough to possibly cover the entire cost of GASB 45 compl</w:t>
      </w:r>
      <w:r w:rsidR="00723FEE">
        <w:rPr>
          <w:rFonts w:ascii="Times New Roman" w:eastAsia="Times New Roman" w:hAnsi="Times New Roman" w:cs="Times New Roman"/>
          <w:color w:val="000000"/>
          <w:sz w:val="20"/>
          <w:szCs w:val="20"/>
        </w:rPr>
        <w:t>iance</w:t>
      </w:r>
      <w:r w:rsidR="00E44BAA" w:rsidRPr="0019750D">
        <w:rPr>
          <w:rFonts w:ascii="Times New Roman" w:eastAsia="Times New Roman" w:hAnsi="Times New Roman" w:cs="Times New Roman"/>
          <w:color w:val="000000"/>
          <w:sz w:val="20"/>
          <w:szCs w:val="20"/>
        </w:rPr>
        <w:t>.  Reducing the specific benefits offered within the medical plan and switching from defined benefit plans to defined contribution plans ar</w:t>
      </w:r>
      <w:r w:rsidR="00723FEE">
        <w:rPr>
          <w:rFonts w:ascii="Times New Roman" w:eastAsia="Times New Roman" w:hAnsi="Times New Roman" w:cs="Times New Roman"/>
          <w:color w:val="000000"/>
          <w:sz w:val="20"/>
          <w:szCs w:val="20"/>
        </w:rPr>
        <w:t>e two other ways employers have</w:t>
      </w:r>
      <w:r w:rsidR="00E44BAA" w:rsidRPr="0019750D">
        <w:rPr>
          <w:rFonts w:ascii="Times New Roman" w:eastAsia="Times New Roman" w:hAnsi="Times New Roman" w:cs="Times New Roman"/>
          <w:color w:val="000000"/>
          <w:sz w:val="20"/>
          <w:szCs w:val="20"/>
        </w:rPr>
        <w:t xml:space="preserve"> cut </w:t>
      </w:r>
      <w:r w:rsidR="00723FEE">
        <w:rPr>
          <w:rFonts w:ascii="Times New Roman" w:eastAsia="Times New Roman" w:hAnsi="Times New Roman" w:cs="Times New Roman"/>
          <w:color w:val="000000"/>
          <w:sz w:val="20"/>
          <w:szCs w:val="20"/>
        </w:rPr>
        <w:t xml:space="preserve">their </w:t>
      </w:r>
      <w:r w:rsidR="00E44BAA" w:rsidRPr="0019750D">
        <w:rPr>
          <w:rFonts w:ascii="Times New Roman" w:eastAsia="Times New Roman" w:hAnsi="Times New Roman" w:cs="Times New Roman"/>
          <w:color w:val="000000"/>
          <w:sz w:val="20"/>
          <w:szCs w:val="20"/>
        </w:rPr>
        <w:t xml:space="preserve">costs in order to better manage the costs associated with </w:t>
      </w:r>
      <w:r w:rsidR="00723FEE">
        <w:rPr>
          <w:rFonts w:ascii="Times New Roman" w:eastAsia="Times New Roman" w:hAnsi="Times New Roman" w:cs="Times New Roman"/>
          <w:color w:val="000000"/>
          <w:sz w:val="20"/>
          <w:szCs w:val="20"/>
        </w:rPr>
        <w:t xml:space="preserve">potential </w:t>
      </w:r>
      <w:r w:rsidR="00E44BAA" w:rsidRPr="0019750D">
        <w:rPr>
          <w:rFonts w:ascii="Times New Roman" w:eastAsia="Times New Roman" w:hAnsi="Times New Roman" w:cs="Times New Roman"/>
          <w:color w:val="000000"/>
          <w:sz w:val="20"/>
          <w:szCs w:val="20"/>
        </w:rPr>
        <w:t xml:space="preserve">GASB 45 liabilities.  </w:t>
      </w:r>
    </w:p>
    <w:p w:rsidR="0019445A" w:rsidRPr="0019750D" w:rsidRDefault="0019445A" w:rsidP="0019750D">
      <w:pPr>
        <w:spacing w:after="0" w:line="240" w:lineRule="auto"/>
        <w:ind w:firstLine="720"/>
        <w:contextualSpacing/>
        <w:jc w:val="both"/>
        <w:rPr>
          <w:rFonts w:ascii="Times New Roman" w:eastAsia="Times New Roman" w:hAnsi="Times New Roman" w:cs="Times New Roman"/>
          <w:color w:val="000000"/>
          <w:sz w:val="20"/>
          <w:szCs w:val="20"/>
        </w:rPr>
      </w:pPr>
    </w:p>
    <w:p w:rsidR="00E44BAA" w:rsidRDefault="00E44BAA" w:rsidP="0019445A">
      <w:pPr>
        <w:spacing w:after="0" w:line="240" w:lineRule="auto"/>
        <w:ind w:firstLine="720"/>
        <w:contextualSpacing/>
        <w:jc w:val="both"/>
        <w:rPr>
          <w:rFonts w:ascii="Times New Roman" w:eastAsia="Times New Roman" w:hAnsi="Times New Roman" w:cs="Times New Roman"/>
          <w:color w:val="000000"/>
          <w:sz w:val="20"/>
          <w:szCs w:val="20"/>
        </w:rPr>
      </w:pPr>
      <w:r w:rsidRPr="0019750D">
        <w:rPr>
          <w:rFonts w:ascii="Times New Roman" w:eastAsia="Times New Roman" w:hAnsi="Times New Roman" w:cs="Times New Roman"/>
          <w:color w:val="000000"/>
          <w:sz w:val="20"/>
          <w:szCs w:val="20"/>
        </w:rPr>
        <w:t>Add</w:t>
      </w:r>
      <w:r w:rsidR="00F72894">
        <w:rPr>
          <w:rFonts w:ascii="Times New Roman" w:eastAsia="Times New Roman" w:hAnsi="Times New Roman" w:cs="Times New Roman"/>
          <w:color w:val="000000"/>
          <w:sz w:val="20"/>
          <w:szCs w:val="20"/>
        </w:rPr>
        <w:t xml:space="preserve">itionally, </w:t>
      </w:r>
      <w:r w:rsidR="00623692">
        <w:rPr>
          <w:rFonts w:ascii="Times New Roman" w:eastAsia="Times New Roman" w:hAnsi="Times New Roman" w:cs="Times New Roman"/>
          <w:color w:val="000000"/>
          <w:sz w:val="20"/>
          <w:szCs w:val="20"/>
        </w:rPr>
        <w:t>some governments may</w:t>
      </w:r>
      <w:r w:rsidR="00723FEE">
        <w:rPr>
          <w:rFonts w:ascii="Times New Roman" w:eastAsia="Times New Roman" w:hAnsi="Times New Roman" w:cs="Times New Roman"/>
          <w:color w:val="000000"/>
          <w:sz w:val="20"/>
          <w:szCs w:val="20"/>
        </w:rPr>
        <w:t xml:space="preserve"> take more</w:t>
      </w:r>
      <w:r w:rsidRPr="0019750D">
        <w:rPr>
          <w:rFonts w:ascii="Times New Roman" w:eastAsia="Times New Roman" w:hAnsi="Times New Roman" w:cs="Times New Roman"/>
          <w:color w:val="000000"/>
          <w:sz w:val="20"/>
          <w:szCs w:val="20"/>
        </w:rPr>
        <w:t xml:space="preserve"> drastic measures</w:t>
      </w:r>
      <w:r w:rsidR="00623692">
        <w:rPr>
          <w:rFonts w:ascii="Times New Roman" w:eastAsia="Times New Roman" w:hAnsi="Times New Roman" w:cs="Times New Roman"/>
          <w:color w:val="000000"/>
          <w:sz w:val="20"/>
          <w:szCs w:val="20"/>
        </w:rPr>
        <w:t xml:space="preserve"> in the future</w:t>
      </w:r>
      <w:r w:rsidRPr="0019750D">
        <w:rPr>
          <w:rFonts w:ascii="Times New Roman" w:eastAsia="Times New Roman" w:hAnsi="Times New Roman" w:cs="Times New Roman"/>
          <w:color w:val="000000"/>
          <w:sz w:val="20"/>
          <w:szCs w:val="20"/>
        </w:rPr>
        <w:t xml:space="preserve"> to</w:t>
      </w:r>
      <w:r w:rsidR="00623692">
        <w:rPr>
          <w:rFonts w:ascii="Times New Roman" w:eastAsia="Times New Roman" w:hAnsi="Times New Roman" w:cs="Times New Roman"/>
          <w:color w:val="000000"/>
          <w:sz w:val="20"/>
          <w:szCs w:val="20"/>
        </w:rPr>
        <w:t xml:space="preserve"> continue to provide benefits for</w:t>
      </w:r>
      <w:r w:rsidRPr="0019750D">
        <w:rPr>
          <w:rFonts w:ascii="Times New Roman" w:eastAsia="Times New Roman" w:hAnsi="Times New Roman" w:cs="Times New Roman"/>
          <w:color w:val="000000"/>
          <w:sz w:val="20"/>
          <w:szCs w:val="20"/>
        </w:rPr>
        <w:t xml:space="preserve"> their employees. For example, a government may opt to raise its taxes for all residents and businesses in the state, town, or county. By d</w:t>
      </w:r>
      <w:r w:rsidR="007645FD" w:rsidRPr="0019750D">
        <w:rPr>
          <w:rFonts w:ascii="Times New Roman" w:eastAsia="Times New Roman" w:hAnsi="Times New Roman" w:cs="Times New Roman"/>
          <w:color w:val="000000"/>
          <w:sz w:val="20"/>
          <w:szCs w:val="20"/>
        </w:rPr>
        <w:t>oing so, the governments would</w:t>
      </w:r>
      <w:r w:rsidRPr="0019750D">
        <w:rPr>
          <w:rFonts w:ascii="Times New Roman" w:eastAsia="Times New Roman" w:hAnsi="Times New Roman" w:cs="Times New Roman"/>
          <w:color w:val="000000"/>
          <w:sz w:val="20"/>
          <w:szCs w:val="20"/>
        </w:rPr>
        <w:t xml:space="preserve"> hav</w:t>
      </w:r>
      <w:r w:rsidR="007645FD" w:rsidRPr="0019750D">
        <w:rPr>
          <w:rFonts w:ascii="Times New Roman" w:eastAsia="Times New Roman" w:hAnsi="Times New Roman" w:cs="Times New Roman"/>
          <w:color w:val="000000"/>
          <w:sz w:val="20"/>
          <w:szCs w:val="20"/>
        </w:rPr>
        <w:t>e more income coming in that could</w:t>
      </w:r>
      <w:r w:rsidRPr="0019750D">
        <w:rPr>
          <w:rFonts w:ascii="Times New Roman" w:eastAsia="Times New Roman" w:hAnsi="Times New Roman" w:cs="Times New Roman"/>
          <w:color w:val="000000"/>
          <w:sz w:val="20"/>
          <w:szCs w:val="20"/>
        </w:rPr>
        <w:t xml:space="preserve"> be used </w:t>
      </w:r>
      <w:r w:rsidR="00723FEE">
        <w:rPr>
          <w:rFonts w:ascii="Times New Roman" w:eastAsia="Times New Roman" w:hAnsi="Times New Roman" w:cs="Times New Roman"/>
          <w:color w:val="000000"/>
          <w:sz w:val="20"/>
          <w:szCs w:val="20"/>
        </w:rPr>
        <w:t xml:space="preserve">to sustain its current </w:t>
      </w:r>
      <w:r w:rsidR="00F72894">
        <w:rPr>
          <w:rFonts w:ascii="Times New Roman" w:eastAsia="Times New Roman" w:hAnsi="Times New Roman" w:cs="Times New Roman"/>
          <w:color w:val="000000"/>
          <w:sz w:val="20"/>
          <w:szCs w:val="20"/>
        </w:rPr>
        <w:t>level of OPEB.  Governments may</w:t>
      </w:r>
      <w:r w:rsidRPr="0019750D">
        <w:rPr>
          <w:rFonts w:ascii="Times New Roman" w:eastAsia="Times New Roman" w:hAnsi="Times New Roman" w:cs="Times New Roman"/>
          <w:color w:val="000000"/>
          <w:sz w:val="20"/>
          <w:szCs w:val="20"/>
        </w:rPr>
        <w:t xml:space="preserve"> cut other services they provide in order to maintain its current state of </w:t>
      </w:r>
      <w:r w:rsidR="00F72894">
        <w:rPr>
          <w:rFonts w:ascii="Times New Roman" w:eastAsia="Times New Roman" w:hAnsi="Times New Roman" w:cs="Times New Roman"/>
          <w:color w:val="000000"/>
          <w:sz w:val="20"/>
          <w:szCs w:val="20"/>
        </w:rPr>
        <w:t>operations. Governments may</w:t>
      </w:r>
      <w:r w:rsidR="00723FEE">
        <w:rPr>
          <w:rFonts w:ascii="Times New Roman" w:eastAsia="Times New Roman" w:hAnsi="Times New Roman" w:cs="Times New Roman"/>
          <w:color w:val="000000"/>
          <w:sz w:val="20"/>
          <w:szCs w:val="20"/>
        </w:rPr>
        <w:t xml:space="preserve"> increase</w:t>
      </w:r>
      <w:r w:rsidRPr="0019750D">
        <w:rPr>
          <w:rFonts w:ascii="Times New Roman" w:eastAsia="Times New Roman" w:hAnsi="Times New Roman" w:cs="Times New Roman"/>
          <w:color w:val="000000"/>
          <w:sz w:val="20"/>
          <w:szCs w:val="20"/>
        </w:rPr>
        <w:t xml:space="preserve"> their income by issuing taxable OPEB obligation bonds. And, in a desperate cry for increa</w:t>
      </w:r>
      <w:r w:rsidR="00F72894">
        <w:rPr>
          <w:rFonts w:ascii="Times New Roman" w:eastAsia="Times New Roman" w:hAnsi="Times New Roman" w:cs="Times New Roman"/>
          <w:color w:val="000000"/>
          <w:sz w:val="20"/>
          <w:szCs w:val="20"/>
        </w:rPr>
        <w:t>sed income, governments may</w:t>
      </w:r>
      <w:r w:rsidR="00723FEE">
        <w:rPr>
          <w:rFonts w:ascii="Times New Roman" w:eastAsia="Times New Roman" w:hAnsi="Times New Roman" w:cs="Times New Roman"/>
          <w:color w:val="000000"/>
          <w:sz w:val="20"/>
          <w:szCs w:val="20"/>
        </w:rPr>
        <w:t xml:space="preserve"> sell</w:t>
      </w:r>
      <w:r w:rsidRPr="0019750D">
        <w:rPr>
          <w:rFonts w:ascii="Times New Roman" w:eastAsia="Times New Roman" w:hAnsi="Times New Roman" w:cs="Times New Roman"/>
          <w:color w:val="000000"/>
          <w:sz w:val="20"/>
          <w:szCs w:val="20"/>
        </w:rPr>
        <w:t xml:space="preserve"> or lease their assets, for example, “privatizing toll roads, lottery systems, etc.” (Zion and Varshney</w:t>
      </w:r>
      <w:r w:rsidR="00723FEE">
        <w:rPr>
          <w:rFonts w:ascii="Times New Roman" w:eastAsia="Times New Roman" w:hAnsi="Times New Roman" w:cs="Times New Roman"/>
          <w:color w:val="000000"/>
          <w:sz w:val="20"/>
          <w:szCs w:val="20"/>
        </w:rPr>
        <w:t>, 2007, p.</w:t>
      </w:r>
      <w:r w:rsidR="00623692">
        <w:rPr>
          <w:rFonts w:ascii="Times New Roman" w:eastAsia="Times New Roman" w:hAnsi="Times New Roman" w:cs="Times New Roman"/>
          <w:color w:val="000000"/>
          <w:sz w:val="20"/>
          <w:szCs w:val="20"/>
        </w:rPr>
        <w:t xml:space="preserve">4). </w:t>
      </w:r>
      <w:r w:rsidRPr="0019750D">
        <w:rPr>
          <w:rFonts w:ascii="Times New Roman" w:eastAsia="Times New Roman" w:hAnsi="Times New Roman" w:cs="Times New Roman"/>
          <w:color w:val="000000"/>
          <w:sz w:val="20"/>
          <w:szCs w:val="20"/>
        </w:rPr>
        <w:t xml:space="preserve">New Jersey has “considered selling off the New Jersey Turnpike, its lottery and other revenue-producing assets” because its OPEB underfunding was estimated to </w:t>
      </w:r>
      <w:r w:rsidR="00723FEE">
        <w:rPr>
          <w:rFonts w:ascii="Times New Roman" w:eastAsia="Times New Roman" w:hAnsi="Times New Roman" w:cs="Times New Roman"/>
          <w:color w:val="000000"/>
          <w:sz w:val="20"/>
          <w:szCs w:val="20"/>
        </w:rPr>
        <w:t xml:space="preserve">be </w:t>
      </w:r>
      <w:r w:rsidRPr="0019750D">
        <w:rPr>
          <w:rFonts w:ascii="Times New Roman" w:eastAsia="Times New Roman" w:hAnsi="Times New Roman" w:cs="Times New Roman"/>
          <w:color w:val="000000"/>
          <w:sz w:val="20"/>
          <w:szCs w:val="20"/>
        </w:rPr>
        <w:t>possibly be greater than its total assets (Zion and Varshney</w:t>
      </w:r>
      <w:r w:rsidR="00723FEE">
        <w:rPr>
          <w:rFonts w:ascii="Times New Roman" w:eastAsia="Times New Roman" w:hAnsi="Times New Roman" w:cs="Times New Roman"/>
          <w:color w:val="000000"/>
          <w:sz w:val="20"/>
          <w:szCs w:val="20"/>
        </w:rPr>
        <w:t>,</w:t>
      </w:r>
      <w:r w:rsidRPr="0019750D">
        <w:rPr>
          <w:rFonts w:ascii="Times New Roman" w:eastAsia="Times New Roman" w:hAnsi="Times New Roman" w:cs="Times New Roman"/>
          <w:color w:val="000000"/>
          <w:sz w:val="20"/>
          <w:szCs w:val="20"/>
        </w:rPr>
        <w:t xml:space="preserve"> 2007</w:t>
      </w:r>
      <w:r w:rsidR="00723FEE">
        <w:rPr>
          <w:rFonts w:ascii="Times New Roman" w:eastAsia="Times New Roman" w:hAnsi="Times New Roman" w:cs="Times New Roman"/>
          <w:color w:val="000000"/>
          <w:sz w:val="20"/>
          <w:szCs w:val="20"/>
        </w:rPr>
        <w:t>, p.</w:t>
      </w:r>
      <w:r w:rsidRPr="0019750D">
        <w:rPr>
          <w:rFonts w:ascii="Times New Roman" w:eastAsia="Times New Roman" w:hAnsi="Times New Roman" w:cs="Times New Roman"/>
          <w:color w:val="000000"/>
          <w:sz w:val="20"/>
          <w:szCs w:val="20"/>
        </w:rPr>
        <w:t xml:space="preserve"> 12).</w:t>
      </w:r>
      <w:r w:rsidR="0019445A">
        <w:rPr>
          <w:rFonts w:ascii="Times New Roman" w:eastAsia="Times New Roman" w:hAnsi="Times New Roman" w:cs="Times New Roman"/>
          <w:color w:val="000000"/>
          <w:sz w:val="20"/>
          <w:szCs w:val="20"/>
        </w:rPr>
        <w:t xml:space="preserve"> </w:t>
      </w:r>
      <w:r w:rsidR="00723FEE">
        <w:rPr>
          <w:rFonts w:ascii="Times New Roman" w:eastAsia="Times New Roman" w:hAnsi="Times New Roman" w:cs="Times New Roman"/>
          <w:color w:val="000000"/>
          <w:sz w:val="20"/>
          <w:szCs w:val="20"/>
        </w:rPr>
        <w:t>GASB 45 implementation has</w:t>
      </w:r>
      <w:r w:rsidRPr="0019750D">
        <w:rPr>
          <w:rFonts w:ascii="Times New Roman" w:eastAsia="Times New Roman" w:hAnsi="Times New Roman" w:cs="Times New Roman"/>
          <w:color w:val="000000"/>
          <w:sz w:val="20"/>
          <w:szCs w:val="20"/>
        </w:rPr>
        <w:t xml:space="preserve"> forced governments to rethink the way they go about funding for OPEB. In an effort to cut costs, they may now more seriously consider prefunding their OPEB plans through various new investments (Zion and Varshney</w:t>
      </w:r>
      <w:r w:rsidR="00723FEE">
        <w:rPr>
          <w:rFonts w:ascii="Times New Roman" w:eastAsia="Times New Roman" w:hAnsi="Times New Roman" w:cs="Times New Roman"/>
          <w:color w:val="000000"/>
          <w:sz w:val="20"/>
          <w:szCs w:val="20"/>
        </w:rPr>
        <w:t>, 2007, p.</w:t>
      </w:r>
      <w:r w:rsidRPr="0019750D">
        <w:rPr>
          <w:rFonts w:ascii="Times New Roman" w:eastAsia="Times New Roman" w:hAnsi="Times New Roman" w:cs="Times New Roman"/>
          <w:color w:val="000000"/>
          <w:sz w:val="20"/>
          <w:szCs w:val="20"/>
        </w:rPr>
        <w:t xml:space="preserve"> 3). </w:t>
      </w:r>
    </w:p>
    <w:p w:rsidR="0019445A" w:rsidRPr="0019750D" w:rsidRDefault="0019445A" w:rsidP="0019750D">
      <w:pPr>
        <w:spacing w:after="0" w:line="240" w:lineRule="auto"/>
        <w:ind w:firstLine="720"/>
        <w:contextualSpacing/>
        <w:jc w:val="both"/>
        <w:rPr>
          <w:rFonts w:ascii="Times New Roman" w:eastAsia="Times New Roman" w:hAnsi="Times New Roman" w:cs="Times New Roman"/>
          <w:color w:val="000000"/>
          <w:sz w:val="20"/>
          <w:szCs w:val="20"/>
        </w:rPr>
      </w:pPr>
    </w:p>
    <w:p w:rsidR="00E44BAA" w:rsidRDefault="007645FD" w:rsidP="0019445A">
      <w:pPr>
        <w:spacing w:after="0" w:line="240" w:lineRule="auto"/>
        <w:ind w:firstLine="720"/>
        <w:contextualSpacing/>
        <w:jc w:val="both"/>
        <w:rPr>
          <w:rFonts w:ascii="Times New Roman" w:eastAsia="Times New Roman" w:hAnsi="Times New Roman" w:cs="Times New Roman"/>
          <w:sz w:val="20"/>
          <w:szCs w:val="20"/>
        </w:rPr>
      </w:pPr>
      <w:r w:rsidRPr="0019750D">
        <w:rPr>
          <w:rFonts w:ascii="Times New Roman" w:eastAsia="Times New Roman" w:hAnsi="Times New Roman" w:cs="Times New Roman"/>
          <w:color w:val="000000"/>
          <w:sz w:val="20"/>
          <w:szCs w:val="20"/>
        </w:rPr>
        <w:lastRenderedPageBreak/>
        <w:t>If the implementation of GASB</w:t>
      </w:r>
      <w:r w:rsidR="00723FEE">
        <w:rPr>
          <w:rFonts w:ascii="Times New Roman" w:eastAsia="Times New Roman" w:hAnsi="Times New Roman" w:cs="Times New Roman"/>
          <w:color w:val="000000"/>
          <w:sz w:val="20"/>
          <w:szCs w:val="20"/>
        </w:rPr>
        <w:t xml:space="preserve"> </w:t>
      </w:r>
      <w:r w:rsidR="00B405DA">
        <w:rPr>
          <w:rFonts w:ascii="Times New Roman" w:eastAsia="Times New Roman" w:hAnsi="Times New Roman" w:cs="Times New Roman"/>
          <w:color w:val="000000"/>
          <w:sz w:val="20"/>
          <w:szCs w:val="20"/>
        </w:rPr>
        <w:t xml:space="preserve">45 caused many </w:t>
      </w:r>
      <w:r w:rsidRPr="0019750D">
        <w:rPr>
          <w:rFonts w:ascii="Times New Roman" w:eastAsia="Times New Roman" w:hAnsi="Times New Roman" w:cs="Times New Roman"/>
          <w:color w:val="000000"/>
          <w:sz w:val="20"/>
          <w:szCs w:val="20"/>
        </w:rPr>
        <w:t>changes in government behavior, the two</w:t>
      </w:r>
      <w:r w:rsidR="00B405DA">
        <w:rPr>
          <w:rFonts w:ascii="Times New Roman" w:eastAsia="Times New Roman" w:hAnsi="Times New Roman" w:cs="Times New Roman"/>
          <w:color w:val="000000"/>
          <w:sz w:val="20"/>
          <w:szCs w:val="20"/>
        </w:rPr>
        <w:t xml:space="preserve"> new Exposure Drafts relating to OPEB</w:t>
      </w:r>
      <w:r w:rsidRPr="0019750D">
        <w:rPr>
          <w:rFonts w:ascii="Times New Roman" w:eastAsia="Times New Roman" w:hAnsi="Times New Roman" w:cs="Times New Roman"/>
          <w:color w:val="000000"/>
          <w:sz w:val="20"/>
          <w:szCs w:val="20"/>
        </w:rPr>
        <w:t xml:space="preserve"> </w:t>
      </w:r>
      <w:r w:rsidR="00B405DA">
        <w:rPr>
          <w:rFonts w:ascii="Times New Roman" w:eastAsia="Times New Roman" w:hAnsi="Times New Roman" w:cs="Times New Roman"/>
          <w:color w:val="000000"/>
          <w:sz w:val="20"/>
          <w:szCs w:val="20"/>
        </w:rPr>
        <w:t xml:space="preserve">issued in May 2014 (GASB 2014) and subsequent new GASB accounting standards </w:t>
      </w:r>
      <w:r w:rsidRPr="0019750D">
        <w:rPr>
          <w:rFonts w:ascii="Times New Roman" w:eastAsia="Times New Roman" w:hAnsi="Times New Roman" w:cs="Times New Roman"/>
          <w:color w:val="000000"/>
          <w:sz w:val="20"/>
          <w:szCs w:val="20"/>
        </w:rPr>
        <w:t xml:space="preserve">will certainly bring about </w:t>
      </w:r>
      <w:r w:rsidR="00B405DA">
        <w:rPr>
          <w:rFonts w:ascii="Times New Roman" w:eastAsia="Times New Roman" w:hAnsi="Times New Roman" w:cs="Times New Roman"/>
          <w:color w:val="000000"/>
          <w:sz w:val="20"/>
          <w:szCs w:val="20"/>
        </w:rPr>
        <w:t xml:space="preserve">even </w:t>
      </w:r>
      <w:r w:rsidRPr="0019750D">
        <w:rPr>
          <w:rFonts w:ascii="Times New Roman" w:eastAsia="Times New Roman" w:hAnsi="Times New Roman" w:cs="Times New Roman"/>
          <w:color w:val="000000"/>
          <w:sz w:val="20"/>
          <w:szCs w:val="20"/>
        </w:rPr>
        <w:t>more thinking as to how to tackle the challe</w:t>
      </w:r>
      <w:r w:rsidR="00B405DA">
        <w:rPr>
          <w:rFonts w:ascii="Times New Roman" w:eastAsia="Times New Roman" w:hAnsi="Times New Roman" w:cs="Times New Roman"/>
          <w:color w:val="000000"/>
          <w:sz w:val="20"/>
          <w:szCs w:val="20"/>
        </w:rPr>
        <w:t>ng</w:t>
      </w:r>
      <w:r w:rsidR="00B979FB">
        <w:rPr>
          <w:rFonts w:ascii="Times New Roman" w:eastAsia="Times New Roman" w:hAnsi="Times New Roman" w:cs="Times New Roman"/>
          <w:color w:val="000000"/>
          <w:sz w:val="20"/>
          <w:szCs w:val="20"/>
        </w:rPr>
        <w:t>es</w:t>
      </w:r>
      <w:r w:rsidR="00B405DA">
        <w:rPr>
          <w:rFonts w:ascii="Times New Roman" w:eastAsia="Times New Roman" w:hAnsi="Times New Roman" w:cs="Times New Roman"/>
          <w:color w:val="000000"/>
          <w:sz w:val="20"/>
          <w:szCs w:val="20"/>
        </w:rPr>
        <w:t xml:space="preserve"> of reporting all</w:t>
      </w:r>
      <w:r w:rsidRPr="0019750D">
        <w:rPr>
          <w:rFonts w:ascii="Times New Roman" w:eastAsia="Times New Roman" w:hAnsi="Times New Roman" w:cs="Times New Roman"/>
          <w:color w:val="000000"/>
          <w:sz w:val="20"/>
          <w:szCs w:val="20"/>
        </w:rPr>
        <w:t xml:space="preserve"> unfunded AAL</w:t>
      </w:r>
      <w:r w:rsidR="0019445A">
        <w:rPr>
          <w:rFonts w:ascii="Times New Roman" w:eastAsia="Times New Roman" w:hAnsi="Times New Roman" w:cs="Times New Roman"/>
          <w:color w:val="000000"/>
          <w:sz w:val="20"/>
          <w:szCs w:val="20"/>
        </w:rPr>
        <w:t xml:space="preserve"> on </w:t>
      </w:r>
      <w:r w:rsidR="008C4616">
        <w:rPr>
          <w:rFonts w:ascii="Times New Roman" w:eastAsia="Times New Roman" w:hAnsi="Times New Roman" w:cs="Times New Roman"/>
          <w:color w:val="000000"/>
          <w:sz w:val="20"/>
          <w:szCs w:val="20"/>
        </w:rPr>
        <w:t xml:space="preserve">the </w:t>
      </w:r>
      <w:r w:rsidR="0019445A">
        <w:rPr>
          <w:rFonts w:ascii="Times New Roman" w:eastAsia="Times New Roman" w:hAnsi="Times New Roman" w:cs="Times New Roman"/>
          <w:color w:val="000000"/>
          <w:sz w:val="20"/>
          <w:szCs w:val="20"/>
        </w:rPr>
        <w:t>balance sheet.</w:t>
      </w:r>
      <w:r w:rsidR="00B405DA">
        <w:rPr>
          <w:rFonts w:ascii="Times New Roman" w:hAnsi="Times New Roman" w:cstheme="minorHAnsi"/>
          <w:sz w:val="20"/>
          <w:szCs w:val="20"/>
        </w:rPr>
        <w:t xml:space="preserve">  </w:t>
      </w:r>
      <w:r w:rsidR="00E44BAA" w:rsidRPr="0019750D">
        <w:rPr>
          <w:rFonts w:ascii="Times New Roman" w:eastAsia="Times New Roman" w:hAnsi="Times New Roman" w:cs="Times New Roman"/>
          <w:sz w:val="20"/>
          <w:szCs w:val="20"/>
        </w:rPr>
        <w:t>The OPEB Employer Exposure Draft proposes that governments be required to report a liability fo</w:t>
      </w:r>
      <w:r w:rsidR="00B405DA">
        <w:rPr>
          <w:rFonts w:ascii="Times New Roman" w:eastAsia="Times New Roman" w:hAnsi="Times New Roman" w:cs="Times New Roman"/>
          <w:sz w:val="20"/>
          <w:szCs w:val="20"/>
        </w:rPr>
        <w:t xml:space="preserve">r the OPEB </w:t>
      </w:r>
      <w:r w:rsidR="00E44BAA" w:rsidRPr="00B405DA">
        <w:rPr>
          <w:rFonts w:ascii="Times New Roman" w:eastAsia="Times New Roman" w:hAnsi="Times New Roman" w:cs="Times New Roman"/>
          <w:sz w:val="20"/>
          <w:szCs w:val="20"/>
        </w:rPr>
        <w:t xml:space="preserve">on the </w:t>
      </w:r>
      <w:r w:rsidR="00623692">
        <w:rPr>
          <w:rFonts w:ascii="Times New Roman" w:eastAsia="Times New Roman" w:hAnsi="Times New Roman" w:cs="Times New Roman"/>
          <w:sz w:val="20"/>
          <w:szCs w:val="20"/>
        </w:rPr>
        <w:t>face of the financial statements.</w:t>
      </w:r>
      <w:r w:rsidR="00E44BAA" w:rsidRPr="0019750D">
        <w:rPr>
          <w:rFonts w:ascii="Times New Roman" w:eastAsia="Times New Roman" w:hAnsi="Times New Roman" w:cs="Times New Roman"/>
          <w:sz w:val="20"/>
          <w:szCs w:val="20"/>
        </w:rPr>
        <w:t xml:space="preserve"> For governments that provide OPEB through a defined benefit OPEB plan administered through a trust meeting specified criteria, this liability would be t</w:t>
      </w:r>
      <w:r w:rsidR="008C4616">
        <w:rPr>
          <w:rFonts w:ascii="Times New Roman" w:eastAsia="Times New Roman" w:hAnsi="Times New Roman" w:cs="Times New Roman"/>
          <w:sz w:val="20"/>
          <w:szCs w:val="20"/>
        </w:rPr>
        <w:t>he net OPEB liability (</w:t>
      </w:r>
      <w:r w:rsidR="00E44BAA" w:rsidRPr="0019750D">
        <w:rPr>
          <w:rFonts w:ascii="Times New Roman" w:eastAsia="Times New Roman" w:hAnsi="Times New Roman" w:cs="Times New Roman"/>
          <w:sz w:val="20"/>
          <w:szCs w:val="20"/>
        </w:rPr>
        <w:t>the difference between the total OPEB liability and net po</w:t>
      </w:r>
      <w:r w:rsidR="008C4616">
        <w:rPr>
          <w:rFonts w:ascii="Times New Roman" w:eastAsia="Times New Roman" w:hAnsi="Times New Roman" w:cs="Times New Roman"/>
          <w:sz w:val="20"/>
          <w:szCs w:val="20"/>
        </w:rPr>
        <w:t>sition accumulated in the trust).</w:t>
      </w:r>
      <w:r w:rsidR="00E44BAA" w:rsidRPr="0019750D">
        <w:rPr>
          <w:rFonts w:ascii="Times New Roman" w:eastAsia="Times New Roman" w:hAnsi="Times New Roman" w:cs="Times New Roman"/>
          <w:sz w:val="20"/>
          <w:szCs w:val="20"/>
        </w:rPr>
        <w:t xml:space="preserve"> For governments that do not provide OPEB through such a trust, the total OPEB liability would be the liabil</w:t>
      </w:r>
      <w:r w:rsidR="00DC5875">
        <w:rPr>
          <w:rFonts w:ascii="Times New Roman" w:eastAsia="Times New Roman" w:hAnsi="Times New Roman" w:cs="Times New Roman"/>
          <w:sz w:val="20"/>
          <w:szCs w:val="20"/>
        </w:rPr>
        <w:t xml:space="preserve">ity reported by the government. </w:t>
      </w:r>
      <w:r w:rsidR="00E44BAA" w:rsidRPr="0019750D">
        <w:rPr>
          <w:rFonts w:ascii="Times New Roman" w:eastAsia="Times New Roman" w:hAnsi="Times New Roman" w:cs="Times New Roman"/>
          <w:sz w:val="20"/>
          <w:szCs w:val="20"/>
        </w:rPr>
        <w:t>The OPEB Employer Exposure Draft also</w:t>
      </w:r>
      <w:r w:rsidR="00B979FB">
        <w:rPr>
          <w:rFonts w:ascii="Times New Roman" w:eastAsia="Times New Roman" w:hAnsi="Times New Roman" w:cs="Times New Roman"/>
          <w:sz w:val="20"/>
          <w:szCs w:val="20"/>
        </w:rPr>
        <w:t xml:space="preserve"> proposes significant changes on</w:t>
      </w:r>
      <w:r w:rsidR="00502D4F">
        <w:rPr>
          <w:rFonts w:ascii="Times New Roman" w:eastAsia="Times New Roman" w:hAnsi="Times New Roman" w:cs="Times New Roman"/>
          <w:sz w:val="20"/>
          <w:szCs w:val="20"/>
        </w:rPr>
        <w:t xml:space="preserve"> how </w:t>
      </w:r>
      <w:r w:rsidR="00E44BAA" w:rsidRPr="0019750D">
        <w:rPr>
          <w:rFonts w:ascii="Times New Roman" w:eastAsia="Times New Roman" w:hAnsi="Times New Roman" w:cs="Times New Roman"/>
          <w:sz w:val="20"/>
          <w:szCs w:val="20"/>
        </w:rPr>
        <w:t>government</w:t>
      </w:r>
      <w:r w:rsidR="00502D4F">
        <w:rPr>
          <w:rFonts w:ascii="Times New Roman" w:eastAsia="Times New Roman" w:hAnsi="Times New Roman" w:cs="Times New Roman"/>
          <w:sz w:val="20"/>
          <w:szCs w:val="20"/>
        </w:rPr>
        <w:t>s</w:t>
      </w:r>
      <w:r w:rsidR="00E44BAA" w:rsidRPr="0019750D">
        <w:rPr>
          <w:rFonts w:ascii="Times New Roman" w:eastAsia="Times New Roman" w:hAnsi="Times New Roman" w:cs="Times New Roman"/>
          <w:sz w:val="20"/>
          <w:szCs w:val="20"/>
        </w:rPr>
        <w:t xml:space="preserve"> wo</w:t>
      </w:r>
      <w:r w:rsidR="00502D4F">
        <w:rPr>
          <w:rFonts w:ascii="Times New Roman" w:eastAsia="Times New Roman" w:hAnsi="Times New Roman" w:cs="Times New Roman"/>
          <w:sz w:val="20"/>
          <w:szCs w:val="20"/>
        </w:rPr>
        <w:t>uld calculate its OPEB liabilities</w:t>
      </w:r>
      <w:r w:rsidR="00E44BAA" w:rsidRPr="0019750D">
        <w:rPr>
          <w:rFonts w:ascii="Times New Roman" w:eastAsia="Times New Roman" w:hAnsi="Times New Roman" w:cs="Times New Roman"/>
          <w:sz w:val="20"/>
          <w:szCs w:val="20"/>
        </w:rPr>
        <w:t xml:space="preserve"> and annual expense</w:t>
      </w:r>
      <w:r w:rsidR="00502D4F">
        <w:rPr>
          <w:rFonts w:ascii="Times New Roman" w:eastAsia="Times New Roman" w:hAnsi="Times New Roman" w:cs="Times New Roman"/>
          <w:sz w:val="20"/>
          <w:szCs w:val="20"/>
        </w:rPr>
        <w:t>s</w:t>
      </w:r>
      <w:r w:rsidR="00E44BAA" w:rsidRPr="0019750D">
        <w:rPr>
          <w:rFonts w:ascii="Times New Roman" w:eastAsia="Times New Roman" w:hAnsi="Times New Roman" w:cs="Times New Roman"/>
          <w:sz w:val="20"/>
          <w:szCs w:val="20"/>
        </w:rPr>
        <w:t xml:space="preserve">. These proposed changes include: </w:t>
      </w:r>
    </w:p>
    <w:p w:rsidR="00B405DA" w:rsidRPr="0019750D" w:rsidRDefault="00B405DA" w:rsidP="0019445A">
      <w:pPr>
        <w:spacing w:after="0" w:line="240" w:lineRule="auto"/>
        <w:ind w:firstLine="720"/>
        <w:contextualSpacing/>
        <w:jc w:val="both"/>
        <w:rPr>
          <w:rFonts w:ascii="Times New Roman" w:eastAsia="Times New Roman" w:hAnsi="Times New Roman" w:cs="Times New Roman"/>
          <w:sz w:val="20"/>
          <w:szCs w:val="20"/>
        </w:rPr>
      </w:pPr>
    </w:p>
    <w:p w:rsidR="00E44BAA" w:rsidRPr="0019750D" w:rsidRDefault="00E44BAA" w:rsidP="007C2931">
      <w:pPr>
        <w:numPr>
          <w:ilvl w:val="0"/>
          <w:numId w:val="7"/>
        </w:numPr>
        <w:spacing w:after="0" w:line="240" w:lineRule="auto"/>
        <w:jc w:val="both"/>
        <w:rPr>
          <w:rFonts w:ascii="Times New Roman" w:eastAsia="Times New Roman" w:hAnsi="Times New Roman" w:cs="Times New Roman"/>
          <w:sz w:val="20"/>
          <w:szCs w:val="20"/>
        </w:rPr>
      </w:pPr>
      <w:r w:rsidRPr="0019750D">
        <w:rPr>
          <w:rFonts w:ascii="Times New Roman" w:eastAsia="Times New Roman" w:hAnsi="Times New Roman" w:cs="Times New Roman"/>
          <w:sz w:val="20"/>
          <w:szCs w:val="20"/>
        </w:rPr>
        <w:t xml:space="preserve">Discounting projected OPEB payments using: </w:t>
      </w:r>
    </w:p>
    <w:p w:rsidR="00E44BAA" w:rsidRPr="0019750D" w:rsidRDefault="00E44BAA" w:rsidP="0019750D">
      <w:pPr>
        <w:numPr>
          <w:ilvl w:val="1"/>
          <w:numId w:val="7"/>
        </w:numPr>
        <w:spacing w:before="100" w:beforeAutospacing="1" w:after="100" w:afterAutospacing="1" w:line="240" w:lineRule="auto"/>
        <w:jc w:val="both"/>
        <w:rPr>
          <w:rFonts w:ascii="Times New Roman" w:eastAsia="Times New Roman" w:hAnsi="Times New Roman" w:cs="Times New Roman"/>
          <w:sz w:val="20"/>
          <w:szCs w:val="20"/>
        </w:rPr>
      </w:pPr>
      <w:r w:rsidRPr="0019750D">
        <w:rPr>
          <w:rFonts w:ascii="Times New Roman" w:eastAsia="Times New Roman" w:hAnsi="Times New Roman" w:cs="Times New Roman"/>
          <w:sz w:val="20"/>
          <w:szCs w:val="20"/>
        </w:rPr>
        <w:t>The long-term expected rate of return on OPEB plan assets administered through a trust meeting specified criteria to the extent that plan assets are expected to be available to make projected benefit payments and be invested using a strategy to achieve that return</w:t>
      </w:r>
    </w:p>
    <w:p w:rsidR="00E44BAA" w:rsidRPr="0019750D" w:rsidRDefault="00E44BAA" w:rsidP="0019750D">
      <w:pPr>
        <w:numPr>
          <w:ilvl w:val="1"/>
          <w:numId w:val="7"/>
        </w:numPr>
        <w:spacing w:before="100" w:beforeAutospacing="1" w:after="100" w:afterAutospacing="1" w:line="240" w:lineRule="auto"/>
        <w:jc w:val="both"/>
        <w:rPr>
          <w:rFonts w:ascii="Times New Roman" w:eastAsia="Times New Roman" w:hAnsi="Times New Roman" w:cs="Times New Roman"/>
          <w:sz w:val="20"/>
          <w:szCs w:val="20"/>
        </w:rPr>
      </w:pPr>
      <w:r w:rsidRPr="0019750D">
        <w:rPr>
          <w:rFonts w:ascii="Times New Roman" w:eastAsia="Times New Roman" w:hAnsi="Times New Roman" w:cs="Times New Roman"/>
          <w:sz w:val="20"/>
          <w:szCs w:val="20"/>
        </w:rPr>
        <w:t>A 20-year tax-exempt, high-quality general obligation municipal bond yield or index rate to the extent that the conditions above are not met</w:t>
      </w:r>
    </w:p>
    <w:p w:rsidR="00E44BAA" w:rsidRPr="0019750D" w:rsidRDefault="00E44BAA" w:rsidP="0019750D">
      <w:pPr>
        <w:numPr>
          <w:ilvl w:val="0"/>
          <w:numId w:val="7"/>
        </w:numPr>
        <w:spacing w:before="100" w:beforeAutospacing="1" w:after="100" w:afterAutospacing="1" w:line="240" w:lineRule="auto"/>
        <w:jc w:val="both"/>
        <w:rPr>
          <w:rFonts w:ascii="Times New Roman" w:eastAsia="Times New Roman" w:hAnsi="Times New Roman" w:cs="Times New Roman"/>
          <w:sz w:val="20"/>
          <w:szCs w:val="20"/>
        </w:rPr>
      </w:pPr>
      <w:r w:rsidRPr="0019750D">
        <w:rPr>
          <w:rFonts w:ascii="Times New Roman" w:eastAsia="Times New Roman" w:hAnsi="Times New Roman" w:cs="Times New Roman"/>
          <w:sz w:val="20"/>
          <w:szCs w:val="20"/>
        </w:rPr>
        <w:t>Use of a single act</w:t>
      </w:r>
      <w:r w:rsidR="00502D4F">
        <w:rPr>
          <w:rFonts w:ascii="Times New Roman" w:eastAsia="Times New Roman" w:hAnsi="Times New Roman" w:cs="Times New Roman"/>
          <w:sz w:val="20"/>
          <w:szCs w:val="20"/>
        </w:rPr>
        <w:t>uarial cost allocation method (i.e., “</w:t>
      </w:r>
      <w:r w:rsidRPr="0019750D">
        <w:rPr>
          <w:rFonts w:ascii="Times New Roman" w:eastAsia="Times New Roman" w:hAnsi="Times New Roman" w:cs="Times New Roman"/>
          <w:sz w:val="20"/>
          <w:szCs w:val="20"/>
        </w:rPr>
        <w:t>entry age actuarial cost method”)</w:t>
      </w:r>
    </w:p>
    <w:p w:rsidR="00E44BAA" w:rsidRPr="0019750D" w:rsidRDefault="00E44BAA" w:rsidP="0019750D">
      <w:pPr>
        <w:numPr>
          <w:ilvl w:val="0"/>
          <w:numId w:val="7"/>
        </w:numPr>
        <w:spacing w:before="100" w:beforeAutospacing="1" w:after="100" w:afterAutospacing="1" w:line="240" w:lineRule="auto"/>
        <w:jc w:val="both"/>
        <w:rPr>
          <w:rFonts w:ascii="Times New Roman" w:eastAsia="Times New Roman" w:hAnsi="Times New Roman" w:cs="Times New Roman"/>
          <w:sz w:val="20"/>
          <w:szCs w:val="20"/>
        </w:rPr>
      </w:pPr>
      <w:r w:rsidRPr="0019750D">
        <w:rPr>
          <w:rFonts w:ascii="Times New Roman" w:eastAsia="Times New Roman" w:hAnsi="Times New Roman" w:cs="Times New Roman"/>
          <w:sz w:val="20"/>
          <w:szCs w:val="20"/>
        </w:rPr>
        <w:t>Immediate recognition of additional components of OPEB expense</w:t>
      </w:r>
    </w:p>
    <w:p w:rsidR="00E44BAA" w:rsidRDefault="00E44BAA" w:rsidP="007C2931">
      <w:pPr>
        <w:numPr>
          <w:ilvl w:val="0"/>
          <w:numId w:val="7"/>
        </w:numPr>
        <w:spacing w:after="0" w:line="240" w:lineRule="auto"/>
        <w:jc w:val="both"/>
        <w:rPr>
          <w:rFonts w:ascii="Times New Roman" w:eastAsia="Times New Roman" w:hAnsi="Times New Roman" w:cs="Times New Roman"/>
          <w:sz w:val="20"/>
          <w:szCs w:val="20"/>
        </w:rPr>
      </w:pPr>
      <w:r w:rsidRPr="0019750D">
        <w:rPr>
          <w:rFonts w:ascii="Times New Roman" w:eastAsia="Times New Roman" w:hAnsi="Times New Roman" w:cs="Times New Roman"/>
          <w:sz w:val="20"/>
          <w:szCs w:val="20"/>
        </w:rPr>
        <w:t>Requiring governments in all types of OPEB plans to present more extensive note disclosures and required supplementary information about their OPEB liabilities.</w:t>
      </w:r>
    </w:p>
    <w:p w:rsidR="007C2931" w:rsidRPr="0019750D" w:rsidRDefault="007C2931" w:rsidP="007C2931">
      <w:pPr>
        <w:spacing w:after="0" w:line="240" w:lineRule="auto"/>
        <w:ind w:left="720"/>
        <w:jc w:val="both"/>
        <w:rPr>
          <w:rFonts w:ascii="Times New Roman" w:eastAsia="Times New Roman" w:hAnsi="Times New Roman" w:cs="Times New Roman"/>
          <w:sz w:val="20"/>
          <w:szCs w:val="20"/>
        </w:rPr>
      </w:pPr>
    </w:p>
    <w:p w:rsidR="00E44BAA" w:rsidRPr="0019750D" w:rsidRDefault="00E44BAA" w:rsidP="00F72894">
      <w:pPr>
        <w:autoSpaceDE w:val="0"/>
        <w:autoSpaceDN w:val="0"/>
        <w:adjustRightInd w:val="0"/>
        <w:spacing w:after="0" w:line="240" w:lineRule="auto"/>
        <w:ind w:firstLine="720"/>
        <w:jc w:val="both"/>
        <w:rPr>
          <w:rFonts w:ascii="Times New Roman" w:hAnsi="Times New Roman"/>
          <w:sz w:val="20"/>
          <w:szCs w:val="20"/>
        </w:rPr>
      </w:pPr>
      <w:r w:rsidRPr="0019750D">
        <w:rPr>
          <w:rFonts w:ascii="Times New Roman" w:eastAsia="Times New Roman" w:hAnsi="Times New Roman" w:cs="Times New Roman"/>
          <w:sz w:val="20"/>
          <w:szCs w:val="20"/>
        </w:rPr>
        <w:t xml:space="preserve">The </w:t>
      </w:r>
      <w:r w:rsidR="00B979FB">
        <w:rPr>
          <w:rFonts w:ascii="Times New Roman" w:eastAsia="Times New Roman" w:hAnsi="Times New Roman" w:cs="Times New Roman"/>
          <w:sz w:val="20"/>
          <w:szCs w:val="20"/>
        </w:rPr>
        <w:t xml:space="preserve">Employer </w:t>
      </w:r>
      <w:r w:rsidRPr="0019750D">
        <w:rPr>
          <w:rFonts w:ascii="Times New Roman" w:eastAsia="Times New Roman" w:hAnsi="Times New Roman" w:cs="Times New Roman"/>
          <w:sz w:val="20"/>
          <w:szCs w:val="20"/>
        </w:rPr>
        <w:t>Exposure Draft also proposes to continue an option to use a specified alternative measurement method in place of an actuarial valuation for purposes of determining the total OPEB liability for benefits provided through OPEB plans in which there are fewer than 100 plan members (active and inactive) in order to reduce</w:t>
      </w:r>
      <w:r w:rsidR="0019445A">
        <w:rPr>
          <w:rFonts w:ascii="Times New Roman" w:eastAsia="Times New Roman" w:hAnsi="Times New Roman" w:cs="Times New Roman"/>
          <w:sz w:val="20"/>
          <w:szCs w:val="20"/>
        </w:rPr>
        <w:t xml:space="preserve"> costs for smaller governments. </w:t>
      </w:r>
      <w:r w:rsidR="00B979FB">
        <w:rPr>
          <w:rFonts w:ascii="Times New Roman" w:hAnsi="Times New Roman"/>
          <w:sz w:val="20"/>
          <w:szCs w:val="20"/>
        </w:rPr>
        <w:t>It</w:t>
      </w:r>
      <w:r w:rsidRPr="0019750D">
        <w:rPr>
          <w:rFonts w:ascii="Times New Roman" w:hAnsi="Times New Roman"/>
          <w:sz w:val="20"/>
          <w:szCs w:val="20"/>
        </w:rPr>
        <w:t xml:space="preserve"> requires a 10-year schedule that separately presents: </w:t>
      </w:r>
    </w:p>
    <w:p w:rsidR="00E44BAA" w:rsidRPr="0019750D" w:rsidRDefault="00E44BAA" w:rsidP="00DC5875">
      <w:pPr>
        <w:numPr>
          <w:ilvl w:val="0"/>
          <w:numId w:val="8"/>
        </w:numPr>
        <w:spacing w:after="0" w:line="240" w:lineRule="auto"/>
        <w:jc w:val="both"/>
        <w:rPr>
          <w:rFonts w:ascii="Times New Roman" w:hAnsi="Times New Roman" w:cs="Times New Roman"/>
          <w:sz w:val="20"/>
          <w:szCs w:val="20"/>
        </w:rPr>
      </w:pPr>
      <w:r w:rsidRPr="0019750D">
        <w:rPr>
          <w:rFonts w:ascii="Times New Roman" w:hAnsi="Times New Roman" w:cs="Times New Roman"/>
          <w:sz w:val="20"/>
          <w:szCs w:val="20"/>
        </w:rPr>
        <w:t>The total OPEB liability</w:t>
      </w:r>
    </w:p>
    <w:p w:rsidR="00E44BAA" w:rsidRPr="0019750D" w:rsidRDefault="00E44BAA" w:rsidP="0019750D">
      <w:pPr>
        <w:numPr>
          <w:ilvl w:val="0"/>
          <w:numId w:val="8"/>
        </w:numPr>
        <w:spacing w:before="100" w:beforeAutospacing="1" w:after="100" w:afterAutospacing="1" w:line="240" w:lineRule="auto"/>
        <w:jc w:val="both"/>
        <w:rPr>
          <w:rFonts w:ascii="Times New Roman" w:hAnsi="Times New Roman" w:cs="Times New Roman"/>
          <w:sz w:val="20"/>
          <w:szCs w:val="20"/>
        </w:rPr>
      </w:pPr>
      <w:r w:rsidRPr="0019750D">
        <w:rPr>
          <w:rFonts w:ascii="Times New Roman" w:hAnsi="Times New Roman" w:cs="Times New Roman"/>
          <w:sz w:val="20"/>
          <w:szCs w:val="20"/>
        </w:rPr>
        <w:t>The OPEB plan’s fiduciary net position</w:t>
      </w:r>
    </w:p>
    <w:p w:rsidR="00E44BAA" w:rsidRPr="0019750D" w:rsidRDefault="00E44BAA" w:rsidP="0019750D">
      <w:pPr>
        <w:numPr>
          <w:ilvl w:val="0"/>
          <w:numId w:val="8"/>
        </w:numPr>
        <w:spacing w:before="100" w:beforeAutospacing="1" w:after="100" w:afterAutospacing="1" w:line="240" w:lineRule="auto"/>
        <w:jc w:val="both"/>
        <w:rPr>
          <w:rFonts w:ascii="Times New Roman" w:hAnsi="Times New Roman" w:cs="Times New Roman"/>
          <w:sz w:val="20"/>
          <w:szCs w:val="20"/>
        </w:rPr>
      </w:pPr>
      <w:r w:rsidRPr="0019750D">
        <w:rPr>
          <w:rFonts w:ascii="Times New Roman" w:hAnsi="Times New Roman" w:cs="Times New Roman"/>
          <w:sz w:val="20"/>
          <w:szCs w:val="20"/>
        </w:rPr>
        <w:t>The net OPEB liability</w:t>
      </w:r>
    </w:p>
    <w:p w:rsidR="00E44BAA" w:rsidRPr="0019750D" w:rsidRDefault="00E44BAA" w:rsidP="0019750D">
      <w:pPr>
        <w:numPr>
          <w:ilvl w:val="0"/>
          <w:numId w:val="8"/>
        </w:numPr>
        <w:spacing w:before="100" w:beforeAutospacing="1" w:after="100" w:afterAutospacing="1" w:line="240" w:lineRule="auto"/>
        <w:jc w:val="both"/>
        <w:rPr>
          <w:rFonts w:ascii="Times New Roman" w:hAnsi="Times New Roman" w:cs="Times New Roman"/>
          <w:sz w:val="20"/>
          <w:szCs w:val="20"/>
        </w:rPr>
      </w:pPr>
      <w:r w:rsidRPr="0019750D">
        <w:rPr>
          <w:rFonts w:ascii="Times New Roman" w:hAnsi="Times New Roman" w:cs="Times New Roman"/>
          <w:sz w:val="20"/>
          <w:szCs w:val="20"/>
        </w:rPr>
        <w:t>The OPEB plan’s fiduciary net position as a percentage of the total OPEB liability</w:t>
      </w:r>
    </w:p>
    <w:p w:rsidR="00E44BAA" w:rsidRPr="0019750D" w:rsidRDefault="00E44BAA" w:rsidP="0019750D">
      <w:pPr>
        <w:numPr>
          <w:ilvl w:val="0"/>
          <w:numId w:val="8"/>
        </w:numPr>
        <w:spacing w:before="100" w:beforeAutospacing="1" w:after="100" w:afterAutospacing="1" w:line="240" w:lineRule="auto"/>
        <w:jc w:val="both"/>
        <w:rPr>
          <w:rFonts w:ascii="Times New Roman" w:hAnsi="Times New Roman" w:cs="Times New Roman"/>
          <w:sz w:val="20"/>
          <w:szCs w:val="20"/>
        </w:rPr>
      </w:pPr>
      <w:r w:rsidRPr="0019750D">
        <w:rPr>
          <w:rFonts w:ascii="Times New Roman" w:hAnsi="Times New Roman" w:cs="Times New Roman"/>
          <w:sz w:val="20"/>
          <w:szCs w:val="20"/>
        </w:rPr>
        <w:t>The covered-employee payroll</w:t>
      </w:r>
    </w:p>
    <w:p w:rsidR="00E44BAA" w:rsidRPr="0019750D" w:rsidRDefault="00E44BAA" w:rsidP="0019750D">
      <w:pPr>
        <w:numPr>
          <w:ilvl w:val="0"/>
          <w:numId w:val="8"/>
        </w:numPr>
        <w:spacing w:before="100" w:beforeAutospacing="1" w:after="100" w:afterAutospacing="1" w:line="240" w:lineRule="auto"/>
        <w:jc w:val="both"/>
        <w:rPr>
          <w:rFonts w:ascii="Times New Roman" w:hAnsi="Times New Roman" w:cs="Times New Roman"/>
          <w:sz w:val="20"/>
          <w:szCs w:val="20"/>
        </w:rPr>
      </w:pPr>
      <w:r w:rsidRPr="0019750D">
        <w:rPr>
          <w:rFonts w:ascii="Times New Roman" w:hAnsi="Times New Roman" w:cs="Times New Roman"/>
          <w:sz w:val="20"/>
          <w:szCs w:val="20"/>
        </w:rPr>
        <w:t>The net OPEB liability as a percentage of the total OPEB liability</w:t>
      </w:r>
    </w:p>
    <w:p w:rsidR="00E44BAA" w:rsidRDefault="00E44BAA" w:rsidP="007C2931">
      <w:pPr>
        <w:numPr>
          <w:ilvl w:val="0"/>
          <w:numId w:val="8"/>
        </w:numPr>
        <w:spacing w:after="0" w:line="240" w:lineRule="auto"/>
        <w:jc w:val="both"/>
        <w:rPr>
          <w:rFonts w:ascii="Times New Roman" w:hAnsi="Times New Roman"/>
          <w:sz w:val="20"/>
          <w:szCs w:val="20"/>
        </w:rPr>
      </w:pPr>
      <w:r w:rsidRPr="0019750D">
        <w:rPr>
          <w:rFonts w:ascii="Times New Roman" w:hAnsi="Times New Roman" w:cs="Times New Roman"/>
          <w:sz w:val="20"/>
          <w:szCs w:val="20"/>
        </w:rPr>
        <w:t>In special funding situations, both the employer and non</w:t>
      </w:r>
      <w:r w:rsidR="00B979FB">
        <w:rPr>
          <w:rFonts w:ascii="Times New Roman" w:hAnsi="Times New Roman" w:cs="Times New Roman"/>
          <w:sz w:val="20"/>
          <w:szCs w:val="20"/>
        </w:rPr>
        <w:t>-</w:t>
      </w:r>
      <w:r w:rsidRPr="0019750D">
        <w:rPr>
          <w:rFonts w:ascii="Times New Roman" w:hAnsi="Times New Roman" w:cs="Times New Roman"/>
          <w:sz w:val="20"/>
          <w:szCs w:val="20"/>
        </w:rPr>
        <w:t>employer contributing entities’ total proportionate share (amount) of the collective net OPEB liability</w:t>
      </w:r>
      <w:r w:rsidRPr="0019750D">
        <w:rPr>
          <w:rFonts w:ascii="Times New Roman" w:hAnsi="Times New Roman"/>
          <w:sz w:val="20"/>
          <w:szCs w:val="20"/>
        </w:rPr>
        <w:t>.</w:t>
      </w:r>
    </w:p>
    <w:p w:rsidR="007C2931" w:rsidRPr="0019750D" w:rsidRDefault="007C2931" w:rsidP="007C2931">
      <w:pPr>
        <w:spacing w:after="0" w:line="240" w:lineRule="auto"/>
        <w:ind w:left="720"/>
        <w:jc w:val="both"/>
        <w:rPr>
          <w:rFonts w:ascii="Times New Roman" w:hAnsi="Times New Roman"/>
          <w:sz w:val="20"/>
          <w:szCs w:val="20"/>
        </w:rPr>
      </w:pPr>
    </w:p>
    <w:p w:rsidR="00243B5B" w:rsidRPr="0019750D" w:rsidRDefault="00243B5B" w:rsidP="0019445A">
      <w:pPr>
        <w:spacing w:after="0" w:line="240" w:lineRule="auto"/>
        <w:ind w:firstLine="720"/>
        <w:contextualSpacing/>
        <w:jc w:val="both"/>
        <w:rPr>
          <w:rFonts w:ascii="Times New Roman" w:eastAsia="Times New Roman" w:hAnsi="Times New Roman" w:cs="Times New Roman"/>
          <w:sz w:val="20"/>
          <w:szCs w:val="20"/>
        </w:rPr>
      </w:pPr>
      <w:r w:rsidRPr="0019750D">
        <w:rPr>
          <w:rFonts w:ascii="Times New Roman" w:eastAsia="Times New Roman" w:hAnsi="Times New Roman" w:cs="Times New Roman"/>
          <w:sz w:val="20"/>
          <w:szCs w:val="20"/>
        </w:rPr>
        <w:t>The OPEB Employer Exposure Draft</w:t>
      </w:r>
      <w:r w:rsidR="00B979FB">
        <w:rPr>
          <w:rFonts w:ascii="Times New Roman" w:eastAsia="Times New Roman" w:hAnsi="Times New Roman" w:cs="Times New Roman"/>
          <w:sz w:val="20"/>
          <w:szCs w:val="20"/>
        </w:rPr>
        <w:t xml:space="preserve"> (and subsequent standard)</w:t>
      </w:r>
      <w:r w:rsidRPr="0019750D">
        <w:rPr>
          <w:rFonts w:ascii="Times New Roman" w:eastAsia="Times New Roman" w:hAnsi="Times New Roman" w:cs="Times New Roman"/>
          <w:sz w:val="20"/>
          <w:szCs w:val="20"/>
        </w:rPr>
        <w:t xml:space="preserve"> would supersede the accounting and financial reporting requirements of GASB 45, while the OPEB Plan Exposure Draft</w:t>
      </w:r>
      <w:r w:rsidR="00B979FB">
        <w:rPr>
          <w:rFonts w:ascii="Times New Roman" w:eastAsia="Times New Roman" w:hAnsi="Times New Roman" w:cs="Times New Roman"/>
          <w:sz w:val="20"/>
          <w:szCs w:val="20"/>
        </w:rPr>
        <w:t xml:space="preserve"> (and subsequent standard)</w:t>
      </w:r>
      <w:r w:rsidRPr="0019750D">
        <w:rPr>
          <w:rFonts w:ascii="Times New Roman" w:eastAsia="Times New Roman" w:hAnsi="Times New Roman" w:cs="Times New Roman"/>
          <w:sz w:val="20"/>
          <w:szCs w:val="20"/>
        </w:rPr>
        <w:t xml:space="preserve"> would supersede the requirements of GASB 43 and 5</w:t>
      </w:r>
      <w:r w:rsidR="00B979FB">
        <w:rPr>
          <w:rFonts w:ascii="Times New Roman" w:eastAsia="Times New Roman" w:hAnsi="Times New Roman" w:cs="Times New Roman"/>
          <w:sz w:val="20"/>
          <w:szCs w:val="20"/>
        </w:rPr>
        <w:t>7.  The OPEB Plan accounting standard</w:t>
      </w:r>
      <w:r w:rsidRPr="0019750D">
        <w:rPr>
          <w:rFonts w:ascii="Times New Roman" w:eastAsia="Times New Roman" w:hAnsi="Times New Roman" w:cs="Times New Roman"/>
          <w:sz w:val="20"/>
          <w:szCs w:val="20"/>
        </w:rPr>
        <w:t xml:space="preserve"> would be effective for periods beginning after December 15, 2015, and t</w:t>
      </w:r>
      <w:r w:rsidR="00B979FB">
        <w:rPr>
          <w:rFonts w:ascii="Times New Roman" w:eastAsia="Times New Roman" w:hAnsi="Times New Roman" w:cs="Times New Roman"/>
          <w:sz w:val="20"/>
          <w:szCs w:val="20"/>
        </w:rPr>
        <w:t xml:space="preserve">he OPEB Employer accounting standard </w:t>
      </w:r>
      <w:r w:rsidRPr="0019750D">
        <w:rPr>
          <w:rFonts w:ascii="Times New Roman" w:eastAsia="Times New Roman" w:hAnsi="Times New Roman" w:cs="Times New Roman"/>
          <w:sz w:val="20"/>
          <w:szCs w:val="20"/>
        </w:rPr>
        <w:t xml:space="preserve">would be effective for periods beginning after December 15, 2016. </w:t>
      </w:r>
    </w:p>
    <w:p w:rsidR="00A65C3A" w:rsidRPr="0019750D" w:rsidRDefault="00A65C3A" w:rsidP="0019750D">
      <w:pPr>
        <w:spacing w:after="0" w:line="240" w:lineRule="auto"/>
        <w:contextualSpacing/>
        <w:jc w:val="both"/>
        <w:rPr>
          <w:rFonts w:ascii="Times New Roman" w:eastAsia="Times New Roman" w:hAnsi="Times New Roman" w:cs="Times New Roman"/>
          <w:sz w:val="20"/>
          <w:szCs w:val="20"/>
        </w:rPr>
      </w:pPr>
    </w:p>
    <w:p w:rsidR="00A65C3A" w:rsidRPr="0019750D" w:rsidRDefault="0019445A" w:rsidP="0019445A">
      <w:pPr>
        <w:spacing w:line="240" w:lineRule="auto"/>
        <w:jc w:val="center"/>
        <w:rPr>
          <w:rFonts w:ascii="Times New Roman" w:eastAsia="Times New Roman" w:hAnsi="Times New Roman" w:cs="Times New Roman"/>
          <w:b/>
          <w:sz w:val="20"/>
          <w:szCs w:val="20"/>
        </w:rPr>
      </w:pPr>
      <w:r w:rsidRPr="0019750D">
        <w:rPr>
          <w:rFonts w:ascii="Times New Roman" w:eastAsia="Times New Roman" w:hAnsi="Times New Roman" w:cs="Times New Roman"/>
          <w:b/>
          <w:sz w:val="20"/>
          <w:szCs w:val="20"/>
        </w:rPr>
        <w:t>METHODOLOGY</w:t>
      </w:r>
      <w:r w:rsidRPr="0019750D">
        <w:rPr>
          <w:rStyle w:val="CommentReference"/>
          <w:rFonts w:ascii="Times New Roman" w:hAnsi="Times New Roman"/>
          <w:sz w:val="20"/>
          <w:szCs w:val="20"/>
        </w:rPr>
        <w:t xml:space="preserve"> </w:t>
      </w:r>
      <w:r w:rsidRPr="0019750D">
        <w:rPr>
          <w:rFonts w:ascii="Times New Roman" w:eastAsia="Times New Roman" w:hAnsi="Times New Roman" w:cs="Times New Roman"/>
          <w:b/>
          <w:sz w:val="20"/>
          <w:szCs w:val="20"/>
        </w:rPr>
        <w:t>AND RESULT</w:t>
      </w:r>
      <w:r w:rsidR="00FC0C39">
        <w:rPr>
          <w:rFonts w:ascii="Times New Roman" w:eastAsia="Times New Roman" w:hAnsi="Times New Roman" w:cs="Times New Roman"/>
          <w:b/>
          <w:sz w:val="20"/>
          <w:szCs w:val="20"/>
        </w:rPr>
        <w:t>S</w:t>
      </w:r>
    </w:p>
    <w:p w:rsidR="00243B5B" w:rsidRPr="0019750D" w:rsidRDefault="00A65C3A" w:rsidP="0019750D">
      <w:pPr>
        <w:spacing w:line="240" w:lineRule="auto"/>
        <w:jc w:val="both"/>
        <w:rPr>
          <w:rFonts w:ascii="Times New Roman" w:hAnsi="Times New Roman" w:cstheme="minorHAnsi"/>
          <w:sz w:val="20"/>
          <w:szCs w:val="20"/>
        </w:rPr>
      </w:pPr>
      <w:r w:rsidRPr="0019750D">
        <w:rPr>
          <w:rFonts w:ascii="Times New Roman" w:hAnsi="Times New Roman" w:cstheme="minorHAnsi"/>
          <w:sz w:val="20"/>
          <w:szCs w:val="20"/>
        </w:rPr>
        <w:t>We first compared the requiremen</w:t>
      </w:r>
      <w:r w:rsidR="00FC0C39">
        <w:rPr>
          <w:rFonts w:ascii="Times New Roman" w:hAnsi="Times New Roman" w:cstheme="minorHAnsi"/>
          <w:sz w:val="20"/>
          <w:szCs w:val="20"/>
        </w:rPr>
        <w:t>ts of GASB</w:t>
      </w:r>
      <w:r w:rsidR="00B979FB">
        <w:rPr>
          <w:rFonts w:ascii="Times New Roman" w:hAnsi="Times New Roman" w:cstheme="minorHAnsi"/>
          <w:sz w:val="20"/>
          <w:szCs w:val="20"/>
        </w:rPr>
        <w:t xml:space="preserve"> </w:t>
      </w:r>
      <w:r w:rsidR="00FC0C39">
        <w:rPr>
          <w:rFonts w:ascii="Times New Roman" w:hAnsi="Times New Roman" w:cstheme="minorHAnsi"/>
          <w:sz w:val="20"/>
          <w:szCs w:val="20"/>
        </w:rPr>
        <w:t xml:space="preserve">45 </w:t>
      </w:r>
      <w:r w:rsidR="004349C6">
        <w:rPr>
          <w:rFonts w:ascii="Times New Roman" w:hAnsi="Times New Roman" w:cstheme="minorHAnsi"/>
          <w:sz w:val="20"/>
          <w:szCs w:val="20"/>
        </w:rPr>
        <w:t xml:space="preserve">and the GASB </w:t>
      </w:r>
      <w:r w:rsidR="00B259B7">
        <w:rPr>
          <w:rFonts w:ascii="Times New Roman" w:hAnsi="Times New Roman" w:cstheme="minorHAnsi"/>
          <w:sz w:val="20"/>
          <w:szCs w:val="20"/>
        </w:rPr>
        <w:t>Employer Exposure Draft</w:t>
      </w:r>
      <w:r w:rsidRPr="0019750D">
        <w:rPr>
          <w:rFonts w:ascii="Times New Roman" w:hAnsi="Times New Roman" w:cstheme="minorHAnsi"/>
          <w:sz w:val="20"/>
          <w:szCs w:val="20"/>
        </w:rPr>
        <w:t>. Tabl</w:t>
      </w:r>
      <w:r w:rsidR="004349C6">
        <w:rPr>
          <w:rFonts w:ascii="Times New Roman" w:hAnsi="Times New Roman" w:cstheme="minorHAnsi"/>
          <w:sz w:val="20"/>
          <w:szCs w:val="20"/>
        </w:rPr>
        <w:t>e 1 presents the</w:t>
      </w:r>
      <w:r w:rsidR="0006053B" w:rsidRPr="0019750D">
        <w:rPr>
          <w:rFonts w:ascii="Times New Roman" w:hAnsi="Times New Roman" w:cstheme="minorHAnsi"/>
          <w:sz w:val="20"/>
          <w:szCs w:val="20"/>
        </w:rPr>
        <w:t xml:space="preserve"> important differences.</w:t>
      </w:r>
      <w:r w:rsidR="00257D7E">
        <w:rPr>
          <w:rFonts w:ascii="Times New Roman" w:hAnsi="Times New Roman" w:cstheme="minorHAnsi"/>
          <w:sz w:val="20"/>
          <w:szCs w:val="20"/>
        </w:rPr>
        <w:t xml:space="preserve"> </w:t>
      </w:r>
    </w:p>
    <w:p w:rsidR="00E44BAA" w:rsidRPr="0019750D" w:rsidRDefault="0006053B" w:rsidP="00FA51CB">
      <w:pPr>
        <w:spacing w:after="0" w:line="240" w:lineRule="auto"/>
        <w:jc w:val="center"/>
        <w:rPr>
          <w:rFonts w:ascii="Times New Roman" w:hAnsi="Times New Roman" w:cstheme="minorHAnsi"/>
          <w:b/>
          <w:sz w:val="20"/>
          <w:szCs w:val="20"/>
        </w:rPr>
      </w:pPr>
      <w:r w:rsidRPr="0019750D">
        <w:rPr>
          <w:rFonts w:ascii="Times New Roman" w:hAnsi="Times New Roman" w:cstheme="minorHAnsi"/>
          <w:b/>
          <w:sz w:val="20"/>
          <w:szCs w:val="20"/>
        </w:rPr>
        <w:t xml:space="preserve">Table 1: </w:t>
      </w:r>
      <w:r w:rsidR="00E44BAA" w:rsidRPr="0019750D">
        <w:rPr>
          <w:rFonts w:ascii="Times New Roman" w:hAnsi="Times New Roman" w:cstheme="minorHAnsi"/>
          <w:b/>
          <w:sz w:val="20"/>
          <w:szCs w:val="20"/>
        </w:rPr>
        <w:t>Comparison</w:t>
      </w:r>
      <w:r w:rsidR="00925289" w:rsidRPr="0019750D">
        <w:rPr>
          <w:rFonts w:ascii="Times New Roman" w:hAnsi="Times New Roman" w:cstheme="minorHAnsi"/>
          <w:b/>
          <w:sz w:val="20"/>
          <w:szCs w:val="20"/>
        </w:rPr>
        <w:t xml:space="preserve"> </w:t>
      </w:r>
      <w:r w:rsidRPr="0019750D">
        <w:rPr>
          <w:rFonts w:ascii="Times New Roman" w:hAnsi="Times New Roman" w:cstheme="minorHAnsi"/>
          <w:b/>
          <w:sz w:val="20"/>
          <w:szCs w:val="20"/>
        </w:rPr>
        <w:t>of GASB</w:t>
      </w:r>
      <w:r w:rsidR="00552FB8" w:rsidRPr="0019750D">
        <w:rPr>
          <w:rFonts w:ascii="Times New Roman" w:hAnsi="Times New Roman" w:cstheme="minorHAnsi"/>
          <w:b/>
          <w:sz w:val="20"/>
          <w:szCs w:val="20"/>
        </w:rPr>
        <w:t xml:space="preserve"> </w:t>
      </w:r>
      <w:r w:rsidRPr="0019750D">
        <w:rPr>
          <w:rFonts w:ascii="Times New Roman" w:hAnsi="Times New Roman" w:cstheme="minorHAnsi"/>
          <w:b/>
          <w:sz w:val="20"/>
          <w:szCs w:val="20"/>
        </w:rPr>
        <w:t>45 and the Employer Exposure Draft</w:t>
      </w:r>
    </w:p>
    <w:tbl>
      <w:tblPr>
        <w:tblStyle w:val="TableGrid"/>
        <w:tblW w:w="0" w:type="auto"/>
        <w:tblLook w:val="04A0" w:firstRow="1" w:lastRow="0" w:firstColumn="1" w:lastColumn="0" w:noHBand="0" w:noVBand="1"/>
      </w:tblPr>
      <w:tblGrid>
        <w:gridCol w:w="2151"/>
        <w:gridCol w:w="2167"/>
        <w:gridCol w:w="2160"/>
        <w:gridCol w:w="2152"/>
      </w:tblGrid>
      <w:tr w:rsidR="00E44BAA" w:rsidRPr="0019750D" w:rsidTr="00152ED8">
        <w:trPr>
          <w:tblHeader/>
        </w:trPr>
        <w:tc>
          <w:tcPr>
            <w:tcW w:w="2151" w:type="dxa"/>
            <w:tcBorders>
              <w:top w:val="single" w:sz="4" w:space="0" w:color="auto"/>
              <w:left w:val="single" w:sz="4" w:space="0" w:color="auto"/>
              <w:bottom w:val="single" w:sz="4" w:space="0" w:color="auto"/>
              <w:right w:val="single" w:sz="4" w:space="0" w:color="auto"/>
            </w:tcBorders>
          </w:tcPr>
          <w:p w:rsidR="00E44BAA" w:rsidRPr="0019750D" w:rsidRDefault="00152ED8" w:rsidP="0019445A">
            <w:pPr>
              <w:spacing w:after="0" w:line="240" w:lineRule="auto"/>
              <w:rPr>
                <w:rFonts w:ascii="Times New Roman" w:hAnsi="Times New Roman" w:cstheme="minorHAnsi"/>
                <w:b/>
                <w:sz w:val="20"/>
                <w:szCs w:val="20"/>
              </w:rPr>
            </w:pPr>
            <w:r>
              <w:rPr>
                <w:rFonts w:ascii="Times New Roman" w:hAnsi="Times New Roman" w:cstheme="minorHAnsi"/>
                <w:b/>
                <w:sz w:val="20"/>
                <w:szCs w:val="20"/>
              </w:rPr>
              <w:t>Features</w:t>
            </w:r>
          </w:p>
        </w:tc>
        <w:tc>
          <w:tcPr>
            <w:tcW w:w="2167" w:type="dxa"/>
            <w:tcBorders>
              <w:top w:val="single" w:sz="4" w:space="0" w:color="auto"/>
              <w:left w:val="single" w:sz="4" w:space="0" w:color="auto"/>
              <w:bottom w:val="single" w:sz="4" w:space="0" w:color="auto"/>
              <w:right w:val="single" w:sz="4" w:space="0" w:color="auto"/>
            </w:tcBorders>
          </w:tcPr>
          <w:p w:rsidR="00E44BAA" w:rsidRPr="0019750D" w:rsidRDefault="00E44BAA" w:rsidP="0019445A">
            <w:pPr>
              <w:spacing w:after="0" w:line="240" w:lineRule="auto"/>
              <w:rPr>
                <w:rFonts w:ascii="Times New Roman" w:hAnsi="Times New Roman" w:cstheme="minorHAnsi"/>
                <w:b/>
                <w:sz w:val="20"/>
                <w:szCs w:val="20"/>
              </w:rPr>
            </w:pPr>
            <w:r w:rsidRPr="0019750D">
              <w:rPr>
                <w:rFonts w:ascii="Times New Roman" w:hAnsi="Times New Roman" w:cstheme="minorHAnsi"/>
                <w:b/>
                <w:sz w:val="20"/>
                <w:szCs w:val="20"/>
              </w:rPr>
              <w:t>GASB 45</w:t>
            </w:r>
          </w:p>
        </w:tc>
        <w:tc>
          <w:tcPr>
            <w:tcW w:w="2160" w:type="dxa"/>
            <w:tcBorders>
              <w:top w:val="single" w:sz="4" w:space="0" w:color="auto"/>
              <w:left w:val="single" w:sz="4" w:space="0" w:color="auto"/>
              <w:bottom w:val="single" w:sz="4" w:space="0" w:color="auto"/>
              <w:right w:val="single" w:sz="4" w:space="0" w:color="auto"/>
            </w:tcBorders>
          </w:tcPr>
          <w:p w:rsidR="00E44BAA" w:rsidRPr="0019750D" w:rsidRDefault="00B259B7" w:rsidP="0019445A">
            <w:pPr>
              <w:spacing w:after="0" w:line="240" w:lineRule="auto"/>
              <w:rPr>
                <w:rFonts w:ascii="Times New Roman" w:hAnsi="Times New Roman" w:cstheme="minorHAnsi"/>
                <w:b/>
                <w:sz w:val="20"/>
                <w:szCs w:val="20"/>
              </w:rPr>
            </w:pPr>
            <w:r>
              <w:rPr>
                <w:rFonts w:ascii="Times New Roman" w:hAnsi="Times New Roman" w:cstheme="minorHAnsi"/>
                <w:b/>
                <w:sz w:val="20"/>
                <w:szCs w:val="20"/>
              </w:rPr>
              <w:t>New Exposure Draft</w:t>
            </w:r>
          </w:p>
        </w:tc>
        <w:tc>
          <w:tcPr>
            <w:tcW w:w="2152" w:type="dxa"/>
            <w:tcBorders>
              <w:top w:val="single" w:sz="4" w:space="0" w:color="auto"/>
              <w:left w:val="single" w:sz="4" w:space="0" w:color="auto"/>
              <w:bottom w:val="single" w:sz="4" w:space="0" w:color="auto"/>
              <w:right w:val="single" w:sz="4" w:space="0" w:color="auto"/>
            </w:tcBorders>
          </w:tcPr>
          <w:p w:rsidR="00E44BAA" w:rsidRPr="0019750D" w:rsidRDefault="004715A8" w:rsidP="0019445A">
            <w:pPr>
              <w:spacing w:after="0" w:line="240" w:lineRule="auto"/>
              <w:rPr>
                <w:rFonts w:ascii="Times New Roman" w:hAnsi="Times New Roman" w:cstheme="minorHAnsi"/>
                <w:b/>
                <w:sz w:val="20"/>
                <w:szCs w:val="20"/>
              </w:rPr>
            </w:pPr>
            <w:r w:rsidRPr="0019750D">
              <w:rPr>
                <w:rFonts w:ascii="Times New Roman" w:hAnsi="Times New Roman" w:cstheme="minorHAnsi"/>
                <w:b/>
                <w:sz w:val="20"/>
                <w:szCs w:val="20"/>
              </w:rPr>
              <w:t>Remarks</w:t>
            </w:r>
          </w:p>
        </w:tc>
      </w:tr>
      <w:tr w:rsidR="00E44BAA" w:rsidRPr="0019750D" w:rsidTr="00152ED8">
        <w:tc>
          <w:tcPr>
            <w:tcW w:w="2151" w:type="dxa"/>
            <w:tcBorders>
              <w:top w:val="single" w:sz="4" w:space="0" w:color="auto"/>
              <w:left w:val="single" w:sz="4" w:space="0" w:color="auto"/>
              <w:bottom w:val="single" w:sz="4" w:space="0" w:color="auto"/>
              <w:right w:val="single" w:sz="4" w:space="0" w:color="auto"/>
            </w:tcBorders>
          </w:tcPr>
          <w:p w:rsidR="00E44BAA" w:rsidRPr="0019750D" w:rsidRDefault="00E44BAA" w:rsidP="0019445A">
            <w:pPr>
              <w:spacing w:before="100" w:beforeAutospacing="1" w:after="100" w:afterAutospacing="1" w:line="240" w:lineRule="auto"/>
              <w:rPr>
                <w:rFonts w:ascii="Times New Roman" w:eastAsia="Times New Roman" w:hAnsi="Times New Roman"/>
                <w:b/>
                <w:sz w:val="20"/>
                <w:szCs w:val="20"/>
              </w:rPr>
            </w:pPr>
            <w:r w:rsidRPr="0019750D">
              <w:rPr>
                <w:rFonts w:ascii="Times New Roman" w:eastAsia="Times New Roman" w:hAnsi="Times New Roman"/>
                <w:b/>
                <w:sz w:val="20"/>
                <w:szCs w:val="20"/>
              </w:rPr>
              <w:t>Reporting liability</w:t>
            </w:r>
            <w:r w:rsidR="004715A8" w:rsidRPr="0019750D">
              <w:rPr>
                <w:rFonts w:ascii="Times New Roman" w:eastAsia="Times New Roman" w:hAnsi="Times New Roman"/>
                <w:b/>
                <w:sz w:val="20"/>
                <w:szCs w:val="20"/>
              </w:rPr>
              <w:t xml:space="preserve"> on Balance Sheet</w:t>
            </w:r>
          </w:p>
        </w:tc>
        <w:tc>
          <w:tcPr>
            <w:tcW w:w="2167" w:type="dxa"/>
            <w:tcBorders>
              <w:top w:val="single" w:sz="4" w:space="0" w:color="auto"/>
              <w:left w:val="single" w:sz="4" w:space="0" w:color="auto"/>
              <w:bottom w:val="single" w:sz="4" w:space="0" w:color="auto"/>
              <w:right w:val="single" w:sz="4" w:space="0" w:color="auto"/>
            </w:tcBorders>
          </w:tcPr>
          <w:p w:rsidR="00E44BAA" w:rsidRPr="0019750D" w:rsidRDefault="004715A8"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t xml:space="preserve">Incremental Net </w:t>
            </w:r>
            <w:r w:rsidR="00E44BAA" w:rsidRPr="0019750D">
              <w:rPr>
                <w:rFonts w:ascii="Times New Roman" w:eastAsia="Times New Roman" w:hAnsi="Times New Roman"/>
                <w:sz w:val="20"/>
                <w:szCs w:val="20"/>
              </w:rPr>
              <w:t xml:space="preserve">OPEB </w:t>
            </w:r>
            <w:r w:rsidRPr="0019750D">
              <w:rPr>
                <w:rFonts w:ascii="Times New Roman" w:eastAsia="Times New Roman" w:hAnsi="Times New Roman"/>
                <w:sz w:val="20"/>
                <w:szCs w:val="20"/>
              </w:rPr>
              <w:t>O</w:t>
            </w:r>
            <w:r w:rsidR="00E44BAA" w:rsidRPr="0019750D">
              <w:rPr>
                <w:rFonts w:ascii="Times New Roman" w:eastAsia="Times New Roman" w:hAnsi="Times New Roman"/>
                <w:sz w:val="20"/>
                <w:szCs w:val="20"/>
              </w:rPr>
              <w:t>bligation</w:t>
            </w:r>
          </w:p>
        </w:tc>
        <w:tc>
          <w:tcPr>
            <w:tcW w:w="2160" w:type="dxa"/>
            <w:tcBorders>
              <w:top w:val="single" w:sz="4" w:space="0" w:color="auto"/>
              <w:left w:val="single" w:sz="4" w:space="0" w:color="auto"/>
              <w:bottom w:val="single" w:sz="4" w:space="0" w:color="auto"/>
              <w:right w:val="single" w:sz="4" w:space="0" w:color="auto"/>
            </w:tcBorders>
          </w:tcPr>
          <w:p w:rsidR="00E44BAA" w:rsidRPr="0019750D" w:rsidRDefault="00E44BAA" w:rsidP="0019445A">
            <w:pPr>
              <w:spacing w:before="100" w:beforeAutospacing="1" w:after="100" w:afterAutospacing="1" w:line="240" w:lineRule="auto"/>
              <w:rPr>
                <w:rFonts w:ascii="Times New Roman" w:hAnsi="Times New Roman" w:cstheme="minorHAnsi"/>
                <w:b/>
                <w:sz w:val="20"/>
                <w:szCs w:val="20"/>
              </w:rPr>
            </w:pPr>
            <w:r w:rsidRPr="00B979FB">
              <w:rPr>
                <w:rFonts w:ascii="Times New Roman" w:eastAsia="Times New Roman" w:hAnsi="Times New Roman" w:cstheme="minorBidi"/>
                <w:sz w:val="20"/>
                <w:szCs w:val="20"/>
              </w:rPr>
              <w:t xml:space="preserve">Net OPEB </w:t>
            </w:r>
            <w:r w:rsidR="004715A8" w:rsidRPr="00B979FB">
              <w:rPr>
                <w:rFonts w:ascii="Times New Roman" w:eastAsia="Times New Roman" w:hAnsi="Times New Roman" w:cstheme="minorBidi"/>
                <w:sz w:val="20"/>
                <w:szCs w:val="20"/>
              </w:rPr>
              <w:t>L</w:t>
            </w:r>
            <w:r w:rsidRPr="00B979FB">
              <w:rPr>
                <w:rFonts w:ascii="Times New Roman" w:eastAsia="Times New Roman" w:hAnsi="Times New Roman" w:cstheme="minorBidi"/>
                <w:sz w:val="20"/>
                <w:szCs w:val="20"/>
              </w:rPr>
              <w:t>iability</w:t>
            </w:r>
            <w:r w:rsidR="004715A8" w:rsidRPr="0019750D">
              <w:rPr>
                <w:rFonts w:ascii="Times New Roman" w:eastAsia="Times New Roman" w:hAnsi="Times New Roman" w:cstheme="minorBidi"/>
                <w:sz w:val="20"/>
                <w:szCs w:val="20"/>
              </w:rPr>
              <w:t xml:space="preserve"> (NOL,</w:t>
            </w:r>
            <w:r w:rsidR="004715A8" w:rsidRPr="0019750D">
              <w:rPr>
                <w:rFonts w:ascii="Times New Roman" w:eastAsia="Times New Roman" w:hAnsi="Times New Roman"/>
                <w:sz w:val="20"/>
                <w:szCs w:val="20"/>
              </w:rPr>
              <w:t xml:space="preserve"> essentially the entire unfunded liability</w:t>
            </w:r>
            <w:r w:rsidR="00EB2BBC" w:rsidRPr="0019750D">
              <w:rPr>
                <w:rFonts w:ascii="Times New Roman" w:eastAsia="Times New Roman" w:hAnsi="Times New Roman"/>
                <w:sz w:val="20"/>
                <w:szCs w:val="20"/>
              </w:rPr>
              <w:t>)</w:t>
            </w:r>
          </w:p>
        </w:tc>
        <w:tc>
          <w:tcPr>
            <w:tcW w:w="2152" w:type="dxa"/>
            <w:tcBorders>
              <w:top w:val="single" w:sz="4" w:space="0" w:color="auto"/>
              <w:left w:val="single" w:sz="4" w:space="0" w:color="auto"/>
              <w:bottom w:val="single" w:sz="4" w:space="0" w:color="auto"/>
              <w:right w:val="single" w:sz="4" w:space="0" w:color="auto"/>
            </w:tcBorders>
          </w:tcPr>
          <w:p w:rsidR="00E44BAA" w:rsidRPr="0019750D" w:rsidRDefault="006B6A6E" w:rsidP="0019445A">
            <w:pPr>
              <w:spacing w:after="0" w:line="240" w:lineRule="auto"/>
              <w:rPr>
                <w:rFonts w:ascii="Times New Roman" w:hAnsi="Times New Roman" w:cstheme="minorHAnsi"/>
                <w:sz w:val="20"/>
                <w:szCs w:val="20"/>
              </w:rPr>
            </w:pPr>
            <w:r w:rsidRPr="0019750D">
              <w:rPr>
                <w:rFonts w:ascii="Times New Roman" w:hAnsi="Times New Roman" w:cstheme="minorHAnsi"/>
                <w:sz w:val="20"/>
                <w:szCs w:val="20"/>
              </w:rPr>
              <w:t>This is a significant change</w:t>
            </w:r>
          </w:p>
        </w:tc>
      </w:tr>
      <w:tr w:rsidR="00E44BAA" w:rsidRPr="0019750D" w:rsidTr="00152ED8">
        <w:tc>
          <w:tcPr>
            <w:tcW w:w="2151" w:type="dxa"/>
            <w:tcBorders>
              <w:top w:val="single" w:sz="4" w:space="0" w:color="auto"/>
              <w:left w:val="single" w:sz="4" w:space="0" w:color="auto"/>
              <w:bottom w:val="single" w:sz="4" w:space="0" w:color="auto"/>
              <w:right w:val="single" w:sz="4" w:space="0" w:color="auto"/>
            </w:tcBorders>
          </w:tcPr>
          <w:p w:rsidR="00E44BAA" w:rsidRPr="0019750D" w:rsidRDefault="00E44BAA" w:rsidP="0019445A">
            <w:pPr>
              <w:spacing w:before="100" w:beforeAutospacing="1" w:after="100" w:afterAutospacing="1" w:line="240" w:lineRule="auto"/>
              <w:rPr>
                <w:rFonts w:ascii="Times New Roman" w:eastAsia="Times New Roman" w:hAnsi="Times New Roman"/>
                <w:b/>
                <w:sz w:val="20"/>
                <w:szCs w:val="20"/>
              </w:rPr>
            </w:pPr>
            <w:r w:rsidRPr="0019750D">
              <w:rPr>
                <w:rFonts w:ascii="Times New Roman" w:eastAsia="Times New Roman" w:hAnsi="Times New Roman"/>
                <w:b/>
                <w:sz w:val="20"/>
                <w:szCs w:val="20"/>
              </w:rPr>
              <w:t>Discount rate</w:t>
            </w:r>
          </w:p>
        </w:tc>
        <w:tc>
          <w:tcPr>
            <w:tcW w:w="2167" w:type="dxa"/>
            <w:tcBorders>
              <w:top w:val="single" w:sz="4" w:space="0" w:color="auto"/>
              <w:left w:val="single" w:sz="4" w:space="0" w:color="auto"/>
              <w:bottom w:val="single" w:sz="4" w:space="0" w:color="auto"/>
              <w:right w:val="single" w:sz="4" w:space="0" w:color="auto"/>
            </w:tcBorders>
          </w:tcPr>
          <w:p w:rsidR="00E44BAA" w:rsidRPr="0019750D" w:rsidRDefault="00F84217"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t>V</w:t>
            </w:r>
            <w:r w:rsidR="00E44BAA" w:rsidRPr="0019750D">
              <w:rPr>
                <w:rFonts w:ascii="Times New Roman" w:eastAsia="Times New Roman" w:hAnsi="Times New Roman"/>
                <w:sz w:val="20"/>
                <w:szCs w:val="20"/>
              </w:rPr>
              <w:t>arious</w:t>
            </w:r>
          </w:p>
        </w:tc>
        <w:tc>
          <w:tcPr>
            <w:tcW w:w="2160" w:type="dxa"/>
            <w:tcBorders>
              <w:top w:val="single" w:sz="4" w:space="0" w:color="auto"/>
              <w:left w:val="single" w:sz="4" w:space="0" w:color="auto"/>
              <w:bottom w:val="single" w:sz="4" w:space="0" w:color="auto"/>
              <w:right w:val="single" w:sz="4" w:space="0" w:color="auto"/>
            </w:tcBorders>
          </w:tcPr>
          <w:p w:rsidR="00E44BAA" w:rsidRPr="0019750D" w:rsidRDefault="006B6A6E"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t xml:space="preserve">Based on a projection </w:t>
            </w:r>
            <w:r w:rsidRPr="0019750D">
              <w:rPr>
                <w:rFonts w:ascii="Times New Roman" w:eastAsia="Times New Roman" w:hAnsi="Times New Roman"/>
                <w:sz w:val="20"/>
                <w:szCs w:val="20"/>
              </w:rPr>
              <w:lastRenderedPageBreak/>
              <w:t>of whether the employer’s current assets plus projected contributions are expected to cover current plan m</w:t>
            </w:r>
            <w:r w:rsidR="00B979FB">
              <w:rPr>
                <w:rFonts w:ascii="Times New Roman" w:eastAsia="Times New Roman" w:hAnsi="Times New Roman"/>
                <w:sz w:val="20"/>
                <w:szCs w:val="20"/>
              </w:rPr>
              <w:t>embers’ future benefit payments</w:t>
            </w:r>
          </w:p>
        </w:tc>
        <w:tc>
          <w:tcPr>
            <w:tcW w:w="2152" w:type="dxa"/>
            <w:tcBorders>
              <w:top w:val="single" w:sz="4" w:space="0" w:color="auto"/>
              <w:left w:val="single" w:sz="4" w:space="0" w:color="auto"/>
              <w:bottom w:val="single" w:sz="4" w:space="0" w:color="auto"/>
              <w:right w:val="single" w:sz="4" w:space="0" w:color="auto"/>
            </w:tcBorders>
          </w:tcPr>
          <w:p w:rsidR="006B6A6E" w:rsidRPr="0019750D" w:rsidRDefault="006B6A6E"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lastRenderedPageBreak/>
              <w:t xml:space="preserve">Stricter, two </w:t>
            </w:r>
            <w:r w:rsidRPr="0019750D">
              <w:rPr>
                <w:rFonts w:ascii="Times New Roman" w:eastAsia="Times New Roman" w:hAnsi="Times New Roman"/>
                <w:sz w:val="20"/>
                <w:szCs w:val="20"/>
              </w:rPr>
              <w:lastRenderedPageBreak/>
              <w:t>discounting methods allowed</w:t>
            </w:r>
          </w:p>
          <w:p w:rsidR="00E44BAA" w:rsidRPr="0019750D" w:rsidRDefault="004715A8"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t xml:space="preserve"> </w:t>
            </w:r>
          </w:p>
        </w:tc>
      </w:tr>
      <w:tr w:rsidR="00E44BAA" w:rsidRPr="0019750D" w:rsidTr="00152ED8">
        <w:tc>
          <w:tcPr>
            <w:tcW w:w="2151" w:type="dxa"/>
            <w:tcBorders>
              <w:top w:val="single" w:sz="4" w:space="0" w:color="auto"/>
              <w:left w:val="single" w:sz="4" w:space="0" w:color="auto"/>
              <w:bottom w:val="single" w:sz="4" w:space="0" w:color="auto"/>
              <w:right w:val="single" w:sz="4" w:space="0" w:color="auto"/>
            </w:tcBorders>
          </w:tcPr>
          <w:p w:rsidR="00E44BAA" w:rsidRPr="0019750D" w:rsidRDefault="00103CB1" w:rsidP="0019445A">
            <w:pPr>
              <w:spacing w:before="100" w:beforeAutospacing="1" w:after="100" w:afterAutospacing="1" w:line="240" w:lineRule="auto"/>
              <w:rPr>
                <w:rFonts w:ascii="Times New Roman" w:eastAsia="Times New Roman" w:hAnsi="Times New Roman"/>
                <w:b/>
                <w:sz w:val="20"/>
                <w:szCs w:val="20"/>
              </w:rPr>
            </w:pPr>
            <w:r w:rsidRPr="0019750D">
              <w:rPr>
                <w:rFonts w:ascii="Times New Roman" w:eastAsia="Times New Roman" w:hAnsi="Times New Roman"/>
                <w:b/>
                <w:sz w:val="20"/>
                <w:szCs w:val="20"/>
              </w:rPr>
              <w:lastRenderedPageBreak/>
              <w:t>Actuarial al</w:t>
            </w:r>
            <w:r w:rsidR="00244EB5" w:rsidRPr="0019750D">
              <w:rPr>
                <w:rFonts w:ascii="Times New Roman" w:eastAsia="Times New Roman" w:hAnsi="Times New Roman"/>
                <w:b/>
                <w:sz w:val="20"/>
                <w:szCs w:val="20"/>
              </w:rPr>
              <w:t>location</w:t>
            </w:r>
            <w:r w:rsidRPr="0019750D">
              <w:rPr>
                <w:rFonts w:ascii="Times New Roman" w:eastAsia="Times New Roman" w:hAnsi="Times New Roman"/>
                <w:b/>
                <w:sz w:val="20"/>
                <w:szCs w:val="20"/>
              </w:rPr>
              <w:t xml:space="preserve"> of liabilities</w:t>
            </w:r>
          </w:p>
        </w:tc>
        <w:tc>
          <w:tcPr>
            <w:tcW w:w="2167" w:type="dxa"/>
            <w:tcBorders>
              <w:top w:val="single" w:sz="4" w:space="0" w:color="auto"/>
              <w:left w:val="single" w:sz="4" w:space="0" w:color="auto"/>
              <w:bottom w:val="single" w:sz="4" w:space="0" w:color="auto"/>
              <w:right w:val="single" w:sz="4" w:space="0" w:color="auto"/>
            </w:tcBorders>
          </w:tcPr>
          <w:p w:rsidR="00E44BAA" w:rsidRPr="0019750D" w:rsidRDefault="00B979FB" w:rsidP="0019445A">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6 methods allowed-- S</w:t>
            </w:r>
            <w:r w:rsidR="00244EB5" w:rsidRPr="0019750D">
              <w:rPr>
                <w:rFonts w:ascii="Times New Roman" w:eastAsia="Times New Roman" w:hAnsi="Times New Roman"/>
                <w:sz w:val="20"/>
                <w:szCs w:val="20"/>
              </w:rPr>
              <w:t>election of actuarial assumptions, including the healthcare cost trend rate for postemployment healthcare plans, be guided by applicable actuarial standards</w:t>
            </w:r>
          </w:p>
        </w:tc>
        <w:tc>
          <w:tcPr>
            <w:tcW w:w="2160" w:type="dxa"/>
            <w:tcBorders>
              <w:top w:val="single" w:sz="4" w:space="0" w:color="auto"/>
              <w:left w:val="single" w:sz="4" w:space="0" w:color="auto"/>
              <w:bottom w:val="single" w:sz="4" w:space="0" w:color="auto"/>
              <w:right w:val="single" w:sz="4" w:space="0" w:color="auto"/>
            </w:tcBorders>
          </w:tcPr>
          <w:p w:rsidR="00E44BAA" w:rsidRPr="0019750D" w:rsidRDefault="00E44BAA"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t>Use of a single actuarial cost allocation method (“entry age actuarial cost method”)</w:t>
            </w:r>
            <w:r w:rsidR="00103CB1" w:rsidRPr="0019750D">
              <w:rPr>
                <w:rFonts w:ascii="Times New Roman" w:eastAsia="Times New Roman" w:hAnsi="Times New Roman"/>
                <w:sz w:val="20"/>
                <w:szCs w:val="20"/>
              </w:rPr>
              <w:t xml:space="preserve"> to allocate liabilities between </w:t>
            </w:r>
            <w:r w:rsidR="00B979FB">
              <w:rPr>
                <w:rFonts w:ascii="Times New Roman" w:eastAsia="Times New Roman" w:hAnsi="Times New Roman"/>
                <w:sz w:val="20"/>
                <w:szCs w:val="20"/>
              </w:rPr>
              <w:t>past and future service periods</w:t>
            </w:r>
          </w:p>
          <w:p w:rsidR="00E44BAA" w:rsidRPr="0019750D" w:rsidRDefault="00E44BAA" w:rsidP="0019445A">
            <w:pPr>
              <w:spacing w:before="100" w:beforeAutospacing="1" w:after="100" w:afterAutospacing="1" w:line="240" w:lineRule="auto"/>
              <w:rPr>
                <w:rFonts w:ascii="Times New Roman" w:eastAsia="Times New Roman" w:hAnsi="Times New Roman"/>
                <w:sz w:val="20"/>
                <w:szCs w:val="20"/>
              </w:rPr>
            </w:pPr>
          </w:p>
        </w:tc>
        <w:tc>
          <w:tcPr>
            <w:tcW w:w="2152" w:type="dxa"/>
            <w:tcBorders>
              <w:top w:val="single" w:sz="4" w:space="0" w:color="auto"/>
              <w:left w:val="single" w:sz="4" w:space="0" w:color="auto"/>
              <w:bottom w:val="single" w:sz="4" w:space="0" w:color="auto"/>
              <w:right w:val="single" w:sz="4" w:space="0" w:color="auto"/>
            </w:tcBorders>
          </w:tcPr>
          <w:p w:rsidR="00E44BAA" w:rsidRPr="0019750D" w:rsidRDefault="004349C6" w:rsidP="0019445A">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Makes</w:t>
            </w:r>
            <w:r w:rsidR="00103CB1" w:rsidRPr="0019750D">
              <w:rPr>
                <w:rFonts w:ascii="Times New Roman" w:eastAsia="Times New Roman" w:hAnsi="Times New Roman"/>
                <w:sz w:val="20"/>
                <w:szCs w:val="20"/>
              </w:rPr>
              <w:t xml:space="preserve"> liabilities more comparable</w:t>
            </w:r>
          </w:p>
        </w:tc>
      </w:tr>
      <w:tr w:rsidR="00E44BAA" w:rsidRPr="0019750D" w:rsidTr="00152ED8">
        <w:tc>
          <w:tcPr>
            <w:tcW w:w="2151" w:type="dxa"/>
            <w:tcBorders>
              <w:top w:val="single" w:sz="4" w:space="0" w:color="auto"/>
              <w:left w:val="single" w:sz="4" w:space="0" w:color="auto"/>
              <w:bottom w:val="single" w:sz="4" w:space="0" w:color="auto"/>
              <w:right w:val="single" w:sz="4" w:space="0" w:color="auto"/>
            </w:tcBorders>
          </w:tcPr>
          <w:p w:rsidR="00E44BAA" w:rsidRPr="0019750D" w:rsidRDefault="00244EB5" w:rsidP="0019445A">
            <w:pPr>
              <w:spacing w:before="100" w:beforeAutospacing="1" w:after="100" w:afterAutospacing="1" w:line="240" w:lineRule="auto"/>
              <w:rPr>
                <w:rFonts w:ascii="Times New Roman" w:eastAsia="Times New Roman" w:hAnsi="Times New Roman"/>
                <w:b/>
                <w:sz w:val="20"/>
                <w:szCs w:val="20"/>
              </w:rPr>
            </w:pPr>
            <w:r w:rsidRPr="0019750D">
              <w:rPr>
                <w:rFonts w:ascii="Times New Roman" w:eastAsia="Times New Roman" w:hAnsi="Times New Roman"/>
                <w:b/>
                <w:sz w:val="20"/>
                <w:szCs w:val="20"/>
              </w:rPr>
              <w:t>OPEB expenses</w:t>
            </w:r>
          </w:p>
          <w:p w:rsidR="00244EB5" w:rsidRPr="0019750D" w:rsidRDefault="00244EB5" w:rsidP="0019445A">
            <w:pPr>
              <w:spacing w:before="100" w:beforeAutospacing="1" w:after="100" w:afterAutospacing="1" w:line="240" w:lineRule="auto"/>
              <w:rPr>
                <w:rFonts w:ascii="Times New Roman" w:eastAsia="Times New Roman" w:hAnsi="Times New Roman"/>
                <w:sz w:val="20"/>
                <w:szCs w:val="20"/>
              </w:rPr>
            </w:pPr>
          </w:p>
        </w:tc>
        <w:tc>
          <w:tcPr>
            <w:tcW w:w="2167" w:type="dxa"/>
            <w:tcBorders>
              <w:top w:val="single" w:sz="4" w:space="0" w:color="auto"/>
              <w:left w:val="single" w:sz="4" w:space="0" w:color="auto"/>
              <w:bottom w:val="single" w:sz="4" w:space="0" w:color="auto"/>
              <w:right w:val="single" w:sz="4" w:space="0" w:color="auto"/>
            </w:tcBorders>
          </w:tcPr>
          <w:p w:rsidR="00E44BAA" w:rsidRPr="0019750D" w:rsidRDefault="004715A8"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t>30 year open amortizations</w:t>
            </w:r>
          </w:p>
        </w:tc>
        <w:tc>
          <w:tcPr>
            <w:tcW w:w="2160" w:type="dxa"/>
            <w:tcBorders>
              <w:top w:val="single" w:sz="4" w:space="0" w:color="auto"/>
              <w:left w:val="single" w:sz="4" w:space="0" w:color="auto"/>
              <w:bottom w:val="single" w:sz="4" w:space="0" w:color="auto"/>
              <w:right w:val="single" w:sz="4" w:space="0" w:color="auto"/>
            </w:tcBorders>
          </w:tcPr>
          <w:p w:rsidR="00E44BAA" w:rsidRPr="0019750D" w:rsidRDefault="00E44BAA"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t>Immediate recognition of additional components of OPEB expense</w:t>
            </w:r>
          </w:p>
          <w:p w:rsidR="00E44BAA" w:rsidRPr="0019750D" w:rsidRDefault="00E44BAA" w:rsidP="0019445A">
            <w:pPr>
              <w:spacing w:before="100" w:beforeAutospacing="1" w:after="100" w:afterAutospacing="1" w:line="240" w:lineRule="auto"/>
              <w:rPr>
                <w:rFonts w:ascii="Times New Roman" w:eastAsia="Times New Roman" w:hAnsi="Times New Roman"/>
                <w:sz w:val="20"/>
                <w:szCs w:val="20"/>
              </w:rPr>
            </w:pPr>
          </w:p>
        </w:tc>
        <w:tc>
          <w:tcPr>
            <w:tcW w:w="2152" w:type="dxa"/>
            <w:tcBorders>
              <w:top w:val="single" w:sz="4" w:space="0" w:color="auto"/>
              <w:left w:val="single" w:sz="4" w:space="0" w:color="auto"/>
              <w:bottom w:val="single" w:sz="4" w:space="0" w:color="auto"/>
              <w:right w:val="single" w:sz="4" w:space="0" w:color="auto"/>
            </w:tcBorders>
          </w:tcPr>
          <w:p w:rsidR="00E44BAA" w:rsidRPr="0019750D" w:rsidRDefault="004715A8"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t>Accelerated recognition of liability changes in OPEB expense</w:t>
            </w:r>
          </w:p>
        </w:tc>
      </w:tr>
      <w:tr w:rsidR="0006053B" w:rsidRPr="0019750D" w:rsidTr="00152ED8">
        <w:tc>
          <w:tcPr>
            <w:tcW w:w="2151" w:type="dxa"/>
            <w:tcBorders>
              <w:top w:val="single" w:sz="4" w:space="0" w:color="auto"/>
              <w:left w:val="single" w:sz="4" w:space="0" w:color="auto"/>
              <w:bottom w:val="single" w:sz="4" w:space="0" w:color="auto"/>
              <w:right w:val="single" w:sz="4" w:space="0" w:color="auto"/>
            </w:tcBorders>
          </w:tcPr>
          <w:p w:rsidR="0006053B" w:rsidRPr="0019750D" w:rsidRDefault="0006053B" w:rsidP="0019445A">
            <w:pPr>
              <w:spacing w:before="100" w:beforeAutospacing="1" w:after="100" w:afterAutospacing="1" w:line="240" w:lineRule="auto"/>
              <w:rPr>
                <w:rFonts w:ascii="Times New Roman" w:eastAsia="Times New Roman" w:hAnsi="Times New Roman"/>
                <w:b/>
                <w:sz w:val="20"/>
                <w:szCs w:val="20"/>
              </w:rPr>
            </w:pPr>
            <w:r w:rsidRPr="0019750D">
              <w:rPr>
                <w:rFonts w:ascii="Times New Roman" w:eastAsia="Times New Roman" w:hAnsi="Times New Roman"/>
                <w:b/>
                <w:sz w:val="20"/>
                <w:szCs w:val="20"/>
              </w:rPr>
              <w:t>Disclosure</w:t>
            </w:r>
          </w:p>
        </w:tc>
        <w:tc>
          <w:tcPr>
            <w:tcW w:w="2167" w:type="dxa"/>
            <w:tcBorders>
              <w:top w:val="single" w:sz="4" w:space="0" w:color="auto"/>
              <w:left w:val="single" w:sz="4" w:space="0" w:color="auto"/>
              <w:bottom w:val="single" w:sz="4" w:space="0" w:color="auto"/>
              <w:right w:val="single" w:sz="4" w:space="0" w:color="auto"/>
            </w:tcBorders>
          </w:tcPr>
          <w:p w:rsidR="0006053B" w:rsidRPr="0019750D" w:rsidRDefault="0006053B"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t>Contributions, funded status, and the basis for selecting actuarial assumptions</w:t>
            </w:r>
          </w:p>
        </w:tc>
        <w:tc>
          <w:tcPr>
            <w:tcW w:w="2160" w:type="dxa"/>
            <w:tcBorders>
              <w:top w:val="single" w:sz="4" w:space="0" w:color="auto"/>
              <w:left w:val="single" w:sz="4" w:space="0" w:color="auto"/>
              <w:bottom w:val="single" w:sz="4" w:space="0" w:color="auto"/>
              <w:right w:val="single" w:sz="4" w:space="0" w:color="auto"/>
            </w:tcBorders>
          </w:tcPr>
          <w:p w:rsidR="0006053B" w:rsidRPr="0019750D" w:rsidRDefault="0006053B"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t>Enhanced disclosures of historical contributions, funded status, and the basis for selecting actuarial assumptions</w:t>
            </w:r>
          </w:p>
        </w:tc>
        <w:tc>
          <w:tcPr>
            <w:tcW w:w="2152" w:type="dxa"/>
            <w:tcBorders>
              <w:top w:val="single" w:sz="4" w:space="0" w:color="auto"/>
              <w:left w:val="single" w:sz="4" w:space="0" w:color="auto"/>
              <w:bottom w:val="single" w:sz="4" w:space="0" w:color="auto"/>
              <w:right w:val="single" w:sz="4" w:space="0" w:color="auto"/>
            </w:tcBorders>
          </w:tcPr>
          <w:p w:rsidR="0006053B" w:rsidRPr="0019750D" w:rsidRDefault="0006053B"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t>More extensive</w:t>
            </w:r>
          </w:p>
        </w:tc>
      </w:tr>
      <w:tr w:rsidR="0006053B" w:rsidRPr="0019750D" w:rsidTr="00152ED8">
        <w:tc>
          <w:tcPr>
            <w:tcW w:w="2151" w:type="dxa"/>
            <w:tcBorders>
              <w:top w:val="single" w:sz="4" w:space="0" w:color="auto"/>
              <w:left w:val="single" w:sz="4" w:space="0" w:color="auto"/>
              <w:bottom w:val="single" w:sz="4" w:space="0" w:color="auto"/>
              <w:right w:val="single" w:sz="4" w:space="0" w:color="auto"/>
            </w:tcBorders>
          </w:tcPr>
          <w:p w:rsidR="0006053B" w:rsidRPr="0019750D" w:rsidRDefault="0006053B" w:rsidP="0019445A">
            <w:pPr>
              <w:spacing w:before="100" w:beforeAutospacing="1" w:after="100" w:afterAutospacing="1" w:line="240" w:lineRule="auto"/>
              <w:rPr>
                <w:rFonts w:ascii="Times New Roman" w:eastAsia="Times New Roman" w:hAnsi="Times New Roman"/>
                <w:b/>
                <w:sz w:val="20"/>
                <w:szCs w:val="20"/>
              </w:rPr>
            </w:pPr>
            <w:r w:rsidRPr="0019750D">
              <w:rPr>
                <w:rFonts w:ascii="Times New Roman" w:eastAsia="Times New Roman" w:hAnsi="Times New Roman"/>
                <w:b/>
                <w:sz w:val="20"/>
                <w:szCs w:val="20"/>
              </w:rPr>
              <w:t>Funding and accounting</w:t>
            </w:r>
          </w:p>
        </w:tc>
        <w:tc>
          <w:tcPr>
            <w:tcW w:w="2167" w:type="dxa"/>
            <w:tcBorders>
              <w:top w:val="single" w:sz="4" w:space="0" w:color="auto"/>
              <w:left w:val="single" w:sz="4" w:space="0" w:color="auto"/>
              <w:bottom w:val="single" w:sz="4" w:space="0" w:color="auto"/>
              <w:right w:val="single" w:sz="4" w:space="0" w:color="auto"/>
            </w:tcBorders>
          </w:tcPr>
          <w:p w:rsidR="0006053B" w:rsidRPr="0019750D" w:rsidRDefault="0006053B"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t>Annual Required Contribution (ARC)</w:t>
            </w:r>
          </w:p>
        </w:tc>
        <w:tc>
          <w:tcPr>
            <w:tcW w:w="2160" w:type="dxa"/>
            <w:tcBorders>
              <w:top w:val="single" w:sz="4" w:space="0" w:color="auto"/>
              <w:left w:val="single" w:sz="4" w:space="0" w:color="auto"/>
              <w:bottom w:val="single" w:sz="4" w:space="0" w:color="auto"/>
              <w:right w:val="single" w:sz="4" w:space="0" w:color="auto"/>
            </w:tcBorders>
          </w:tcPr>
          <w:p w:rsidR="0006053B" w:rsidRPr="0019750D" w:rsidRDefault="0006053B"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t>Separate funding from accounting</w:t>
            </w:r>
          </w:p>
        </w:tc>
        <w:tc>
          <w:tcPr>
            <w:tcW w:w="2152" w:type="dxa"/>
            <w:tcBorders>
              <w:top w:val="single" w:sz="4" w:space="0" w:color="auto"/>
              <w:left w:val="single" w:sz="4" w:space="0" w:color="auto"/>
              <w:bottom w:val="single" w:sz="4" w:space="0" w:color="auto"/>
              <w:right w:val="single" w:sz="4" w:space="0" w:color="auto"/>
            </w:tcBorders>
          </w:tcPr>
          <w:p w:rsidR="0006053B" w:rsidRPr="0019750D" w:rsidRDefault="0006053B"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t>Funding and accounting are officially separated; no more ARC.</w:t>
            </w:r>
          </w:p>
        </w:tc>
      </w:tr>
      <w:tr w:rsidR="0006053B" w:rsidRPr="0019750D" w:rsidTr="00152ED8">
        <w:tc>
          <w:tcPr>
            <w:tcW w:w="2151" w:type="dxa"/>
            <w:tcBorders>
              <w:top w:val="single" w:sz="4" w:space="0" w:color="auto"/>
              <w:left w:val="single" w:sz="4" w:space="0" w:color="auto"/>
              <w:bottom w:val="single" w:sz="4" w:space="0" w:color="auto"/>
              <w:right w:val="single" w:sz="4" w:space="0" w:color="auto"/>
            </w:tcBorders>
          </w:tcPr>
          <w:p w:rsidR="0006053B" w:rsidRPr="0019750D" w:rsidRDefault="0006053B" w:rsidP="0019445A">
            <w:pPr>
              <w:spacing w:before="100" w:beforeAutospacing="1" w:after="100" w:afterAutospacing="1" w:line="240" w:lineRule="auto"/>
              <w:rPr>
                <w:rFonts w:ascii="Times New Roman" w:eastAsia="Times New Roman" w:hAnsi="Times New Roman"/>
                <w:b/>
                <w:sz w:val="20"/>
                <w:szCs w:val="20"/>
              </w:rPr>
            </w:pPr>
            <w:r w:rsidRPr="0019750D">
              <w:rPr>
                <w:rFonts w:ascii="Times New Roman" w:eastAsia="Times New Roman" w:hAnsi="Times New Roman"/>
                <w:b/>
                <w:sz w:val="20"/>
                <w:szCs w:val="20"/>
              </w:rPr>
              <w:t xml:space="preserve">Frequency of actuarial valuation </w:t>
            </w:r>
          </w:p>
        </w:tc>
        <w:tc>
          <w:tcPr>
            <w:tcW w:w="2167" w:type="dxa"/>
            <w:tcBorders>
              <w:top w:val="single" w:sz="4" w:space="0" w:color="auto"/>
              <w:left w:val="single" w:sz="4" w:space="0" w:color="auto"/>
              <w:bottom w:val="single" w:sz="4" w:space="0" w:color="auto"/>
              <w:right w:val="single" w:sz="4" w:space="0" w:color="auto"/>
            </w:tcBorders>
          </w:tcPr>
          <w:p w:rsidR="0006053B" w:rsidRPr="0019750D" w:rsidRDefault="00F9545B" w:rsidP="0019445A">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B</w:t>
            </w:r>
            <w:r w:rsidR="0006053B" w:rsidRPr="0019750D">
              <w:rPr>
                <w:rFonts w:ascii="Times New Roman" w:eastAsia="Times New Roman" w:hAnsi="Times New Roman"/>
                <w:sz w:val="20"/>
                <w:szCs w:val="20"/>
              </w:rPr>
              <w:t>iennial with triennial option for employers with fewer than 200 members</w:t>
            </w:r>
          </w:p>
        </w:tc>
        <w:tc>
          <w:tcPr>
            <w:tcW w:w="2160" w:type="dxa"/>
            <w:tcBorders>
              <w:top w:val="single" w:sz="4" w:space="0" w:color="auto"/>
              <w:left w:val="single" w:sz="4" w:space="0" w:color="auto"/>
              <w:bottom w:val="single" w:sz="4" w:space="0" w:color="auto"/>
              <w:right w:val="single" w:sz="4" w:space="0" w:color="auto"/>
            </w:tcBorders>
          </w:tcPr>
          <w:p w:rsidR="0006053B" w:rsidRPr="0019750D" w:rsidRDefault="0006053B"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t>At least biennial</w:t>
            </w:r>
          </w:p>
        </w:tc>
        <w:tc>
          <w:tcPr>
            <w:tcW w:w="2152" w:type="dxa"/>
            <w:tcBorders>
              <w:top w:val="single" w:sz="4" w:space="0" w:color="auto"/>
              <w:left w:val="single" w:sz="4" w:space="0" w:color="auto"/>
              <w:bottom w:val="single" w:sz="4" w:space="0" w:color="auto"/>
              <w:right w:val="single" w:sz="4" w:space="0" w:color="auto"/>
            </w:tcBorders>
          </w:tcPr>
          <w:p w:rsidR="0006053B" w:rsidRPr="0019750D" w:rsidRDefault="0006053B" w:rsidP="0019445A">
            <w:pPr>
              <w:spacing w:before="100" w:beforeAutospacing="1" w:after="100" w:afterAutospacing="1" w:line="240" w:lineRule="auto"/>
              <w:rPr>
                <w:rFonts w:ascii="Times New Roman" w:eastAsia="Times New Roman" w:hAnsi="Times New Roman"/>
                <w:sz w:val="20"/>
                <w:szCs w:val="20"/>
              </w:rPr>
            </w:pPr>
            <w:r w:rsidRPr="0019750D">
              <w:rPr>
                <w:rFonts w:ascii="Times New Roman" w:eastAsia="Times New Roman" w:hAnsi="Times New Roman"/>
                <w:sz w:val="20"/>
                <w:szCs w:val="20"/>
              </w:rPr>
              <w:t>Eliminated the triennial option</w:t>
            </w:r>
          </w:p>
        </w:tc>
      </w:tr>
    </w:tbl>
    <w:p w:rsidR="00E44BAA" w:rsidRPr="0019750D" w:rsidRDefault="00E44BAA" w:rsidP="0019445A">
      <w:pPr>
        <w:spacing w:after="0" w:line="240" w:lineRule="auto"/>
        <w:jc w:val="both"/>
        <w:rPr>
          <w:rFonts w:ascii="Times New Roman" w:hAnsi="Times New Roman"/>
          <w:sz w:val="20"/>
          <w:szCs w:val="20"/>
        </w:rPr>
      </w:pPr>
      <w:r w:rsidRPr="0019750D">
        <w:rPr>
          <w:rFonts w:ascii="Times New Roman" w:eastAsia="Times New Roman" w:hAnsi="Times New Roman" w:cs="Times New Roman"/>
          <w:sz w:val="20"/>
          <w:szCs w:val="20"/>
        </w:rPr>
        <w:tab/>
      </w:r>
      <w:r w:rsidRPr="0019750D">
        <w:rPr>
          <w:rFonts w:ascii="Times New Roman" w:hAnsi="Times New Roman"/>
          <w:sz w:val="20"/>
          <w:szCs w:val="20"/>
        </w:rPr>
        <w:t xml:space="preserve"> </w:t>
      </w:r>
    </w:p>
    <w:p w:rsidR="00FA51CB" w:rsidRDefault="00FA51CB" w:rsidP="00FA51CB">
      <w:pPr>
        <w:spacing w:after="0" w:line="240" w:lineRule="auto"/>
        <w:contextualSpacing/>
        <w:jc w:val="both"/>
        <w:rPr>
          <w:rFonts w:ascii="Times New Roman" w:eastAsia="Times New Roman" w:hAnsi="Times New Roman" w:cs="Times New Roman"/>
          <w:color w:val="000000"/>
          <w:sz w:val="20"/>
          <w:szCs w:val="20"/>
        </w:rPr>
      </w:pPr>
    </w:p>
    <w:p w:rsidR="00FA51CB" w:rsidRPr="0049641E" w:rsidRDefault="00FA51CB" w:rsidP="00FA51CB">
      <w:pPr>
        <w:spacing w:after="0" w:line="240" w:lineRule="auto"/>
        <w:contextualSpacing/>
        <w:jc w:val="center"/>
        <w:rPr>
          <w:rFonts w:ascii="Times New Roman" w:eastAsia="Times New Roman" w:hAnsi="Times New Roman" w:cs="Times New Roman"/>
          <w:b/>
          <w:color w:val="000000"/>
          <w:sz w:val="20"/>
          <w:szCs w:val="20"/>
        </w:rPr>
      </w:pPr>
      <w:r w:rsidRPr="0049641E">
        <w:rPr>
          <w:rFonts w:ascii="Times New Roman" w:eastAsia="Times New Roman" w:hAnsi="Times New Roman" w:cs="Times New Roman"/>
          <w:b/>
          <w:color w:val="000000"/>
          <w:sz w:val="20"/>
          <w:szCs w:val="20"/>
        </w:rPr>
        <w:t>Table 2: Data for 12 Counties in 2006</w:t>
      </w:r>
    </w:p>
    <w:tbl>
      <w:tblPr>
        <w:tblW w:w="8559" w:type="dxa"/>
        <w:tblInd w:w="-5" w:type="dxa"/>
        <w:tblLook w:val="04A0" w:firstRow="1" w:lastRow="0" w:firstColumn="1" w:lastColumn="0" w:noHBand="0" w:noVBand="1"/>
      </w:tblPr>
      <w:tblGrid>
        <w:gridCol w:w="734"/>
        <w:gridCol w:w="1283"/>
        <w:gridCol w:w="1460"/>
        <w:gridCol w:w="1240"/>
        <w:gridCol w:w="1000"/>
        <w:gridCol w:w="939"/>
        <w:gridCol w:w="1083"/>
        <w:gridCol w:w="820"/>
      </w:tblGrid>
      <w:tr w:rsidR="00FA51CB" w:rsidRPr="0054543F" w:rsidTr="009915B4">
        <w:trPr>
          <w:trHeight w:val="144"/>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State</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Name</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 AAL$ 06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 ARC$ 06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 PAYGO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Discount rate</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 Population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 FTEs </w:t>
            </w:r>
          </w:p>
        </w:tc>
      </w:tr>
      <w:tr w:rsidR="00FA51CB" w:rsidRPr="0054543F" w:rsidTr="009915B4">
        <w:trPr>
          <w:trHeight w:val="144"/>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PA</w:t>
            </w:r>
          </w:p>
        </w:tc>
        <w:tc>
          <w:tcPr>
            <w:tcW w:w="12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Chester</w:t>
            </w:r>
          </w:p>
        </w:tc>
        <w:tc>
          <w:tcPr>
            <w:tcW w:w="1460" w:type="dxa"/>
            <w:tcBorders>
              <w:top w:val="nil"/>
              <w:left w:val="nil"/>
              <w:bottom w:val="single" w:sz="4" w:space="0" w:color="auto"/>
              <w:right w:val="single" w:sz="4" w:space="0" w:color="auto"/>
            </w:tcBorders>
            <w:shd w:val="clear" w:color="auto" w:fill="auto"/>
            <w:noWrap/>
            <w:vAlign w:val="bottom"/>
          </w:tcPr>
          <w:p w:rsidR="00FA51CB" w:rsidRPr="0054543F" w:rsidRDefault="00FA51CB" w:rsidP="00F26D40">
            <w:pPr>
              <w:spacing w:after="0" w:line="240" w:lineRule="auto"/>
              <w:rPr>
                <w:rFonts w:ascii="Times New Roman" w:eastAsia="Times New Roman" w:hAnsi="Times New Roman" w:cs="Times New Roman"/>
                <w:color w:val="000000"/>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FA51CB" w:rsidRPr="0054543F" w:rsidRDefault="00FA51CB" w:rsidP="00F26D40">
            <w:pPr>
              <w:spacing w:after="0" w:line="240" w:lineRule="auto"/>
              <w:rPr>
                <w:rFonts w:ascii="Times New Roman" w:eastAsia="Times New Roman" w:hAnsi="Times New Roman" w:cs="Times New Roman"/>
                <w:color w:val="00000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645,060 </w:t>
            </w:r>
          </w:p>
        </w:tc>
        <w:tc>
          <w:tcPr>
            <w:tcW w:w="939"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jc w:val="right"/>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5%</w:t>
            </w:r>
          </w:p>
        </w:tc>
        <w:tc>
          <w:tcPr>
            <w:tcW w:w="10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482,112 </w:t>
            </w:r>
          </w:p>
        </w:tc>
        <w:tc>
          <w:tcPr>
            <w:tcW w:w="82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2,290 </w:t>
            </w:r>
          </w:p>
        </w:tc>
      </w:tr>
      <w:tr w:rsidR="00FA51CB" w:rsidRPr="0054543F" w:rsidTr="009915B4">
        <w:trPr>
          <w:trHeight w:val="144"/>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NV</w:t>
            </w:r>
          </w:p>
        </w:tc>
        <w:tc>
          <w:tcPr>
            <w:tcW w:w="12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Clark</w:t>
            </w:r>
          </w:p>
        </w:tc>
        <w:tc>
          <w:tcPr>
            <w:tcW w:w="146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372,300,793 </w:t>
            </w:r>
          </w:p>
        </w:tc>
        <w:tc>
          <w:tcPr>
            <w:tcW w:w="124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49,674,823 </w:t>
            </w:r>
          </w:p>
        </w:tc>
        <w:tc>
          <w:tcPr>
            <w:tcW w:w="100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jc w:val="right"/>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4%</w:t>
            </w:r>
          </w:p>
        </w:tc>
        <w:tc>
          <w:tcPr>
            <w:tcW w:w="10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1,777,539 </w:t>
            </w:r>
          </w:p>
        </w:tc>
        <w:tc>
          <w:tcPr>
            <w:tcW w:w="82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18,705 </w:t>
            </w:r>
          </w:p>
        </w:tc>
      </w:tr>
      <w:tr w:rsidR="00FA51CB" w:rsidRPr="0054543F" w:rsidTr="009915B4">
        <w:trPr>
          <w:trHeight w:val="144"/>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VA</w:t>
            </w:r>
          </w:p>
        </w:tc>
        <w:tc>
          <w:tcPr>
            <w:tcW w:w="12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Fairfax</w:t>
            </w:r>
          </w:p>
        </w:tc>
        <w:tc>
          <w:tcPr>
            <w:tcW w:w="146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143,321,000 </w:t>
            </w:r>
          </w:p>
        </w:tc>
        <w:tc>
          <w:tcPr>
            <w:tcW w:w="124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15,196,000 </w:t>
            </w:r>
          </w:p>
        </w:tc>
        <w:tc>
          <w:tcPr>
            <w:tcW w:w="100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jc w:val="right"/>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7.50%</w:t>
            </w:r>
          </w:p>
        </w:tc>
        <w:tc>
          <w:tcPr>
            <w:tcW w:w="10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1,010,443 </w:t>
            </w:r>
          </w:p>
        </w:tc>
        <w:tc>
          <w:tcPr>
            <w:tcW w:w="82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10,999 </w:t>
            </w:r>
          </w:p>
        </w:tc>
      </w:tr>
      <w:tr w:rsidR="00FA51CB" w:rsidRPr="0054543F" w:rsidTr="009915B4">
        <w:trPr>
          <w:trHeight w:val="144"/>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GA</w:t>
            </w:r>
          </w:p>
        </w:tc>
        <w:tc>
          <w:tcPr>
            <w:tcW w:w="12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Gwinnett</w:t>
            </w:r>
          </w:p>
        </w:tc>
        <w:tc>
          <w:tcPr>
            <w:tcW w:w="146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139,840,000 </w:t>
            </w:r>
          </w:p>
        </w:tc>
        <w:tc>
          <w:tcPr>
            <w:tcW w:w="124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13,560,000 </w:t>
            </w:r>
          </w:p>
        </w:tc>
        <w:tc>
          <w:tcPr>
            <w:tcW w:w="100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jc w:val="right"/>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6%</w:t>
            </w:r>
          </w:p>
        </w:tc>
        <w:tc>
          <w:tcPr>
            <w:tcW w:w="10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757,104 </w:t>
            </w:r>
          </w:p>
        </w:tc>
        <w:tc>
          <w:tcPr>
            <w:tcW w:w="82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4,586 </w:t>
            </w:r>
          </w:p>
        </w:tc>
      </w:tr>
      <w:tr w:rsidR="00FA51CB" w:rsidRPr="0054543F" w:rsidTr="009915B4">
        <w:trPr>
          <w:trHeight w:val="144"/>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TX</w:t>
            </w:r>
          </w:p>
        </w:tc>
        <w:tc>
          <w:tcPr>
            <w:tcW w:w="12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Harris</w:t>
            </w:r>
          </w:p>
        </w:tc>
        <w:tc>
          <w:tcPr>
            <w:tcW w:w="146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834,000,000 </w:t>
            </w:r>
          </w:p>
        </w:tc>
        <w:tc>
          <w:tcPr>
            <w:tcW w:w="124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90,000,000 </w:t>
            </w:r>
          </w:p>
        </w:tc>
        <w:tc>
          <w:tcPr>
            <w:tcW w:w="100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 yes </w:t>
            </w:r>
          </w:p>
        </w:tc>
        <w:tc>
          <w:tcPr>
            <w:tcW w:w="939"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jc w:val="right"/>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7%</w:t>
            </w:r>
          </w:p>
        </w:tc>
        <w:tc>
          <w:tcPr>
            <w:tcW w:w="10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3,886,207 </w:t>
            </w:r>
          </w:p>
        </w:tc>
        <w:tc>
          <w:tcPr>
            <w:tcW w:w="82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15,840 </w:t>
            </w:r>
          </w:p>
        </w:tc>
      </w:tr>
      <w:tr w:rsidR="00FA51CB" w:rsidRPr="0054543F" w:rsidTr="009915B4">
        <w:trPr>
          <w:trHeight w:val="144"/>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FL</w:t>
            </w:r>
          </w:p>
        </w:tc>
        <w:tc>
          <w:tcPr>
            <w:tcW w:w="12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Hillsborough</w:t>
            </w:r>
          </w:p>
        </w:tc>
        <w:tc>
          <w:tcPr>
            <w:tcW w:w="146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99,724,110 </w:t>
            </w:r>
          </w:p>
        </w:tc>
        <w:tc>
          <w:tcPr>
            <w:tcW w:w="124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8,154,863 </w:t>
            </w:r>
          </w:p>
        </w:tc>
        <w:tc>
          <w:tcPr>
            <w:tcW w:w="100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 $2.1m </w:t>
            </w:r>
          </w:p>
        </w:tc>
        <w:tc>
          <w:tcPr>
            <w:tcW w:w="939"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jc w:val="right"/>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4.50%</w:t>
            </w:r>
          </w:p>
        </w:tc>
        <w:tc>
          <w:tcPr>
            <w:tcW w:w="10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1,157,738 </w:t>
            </w:r>
          </w:p>
        </w:tc>
        <w:tc>
          <w:tcPr>
            <w:tcW w:w="82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10,429 </w:t>
            </w:r>
          </w:p>
        </w:tc>
      </w:tr>
      <w:tr w:rsidR="00FA51CB" w:rsidRPr="0054543F" w:rsidTr="009915B4">
        <w:trPr>
          <w:trHeight w:val="144"/>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NC</w:t>
            </w:r>
          </w:p>
        </w:tc>
        <w:tc>
          <w:tcPr>
            <w:tcW w:w="12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Mecklenburg</w:t>
            </w:r>
          </w:p>
        </w:tc>
        <w:tc>
          <w:tcPr>
            <w:tcW w:w="146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141,825,529 </w:t>
            </w:r>
          </w:p>
        </w:tc>
        <w:tc>
          <w:tcPr>
            <w:tcW w:w="124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14,696,388 </w:t>
            </w:r>
          </w:p>
        </w:tc>
        <w:tc>
          <w:tcPr>
            <w:tcW w:w="100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 $4.7m </w:t>
            </w:r>
          </w:p>
        </w:tc>
        <w:tc>
          <w:tcPr>
            <w:tcW w:w="939"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jc w:val="right"/>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7.50%</w:t>
            </w:r>
          </w:p>
        </w:tc>
        <w:tc>
          <w:tcPr>
            <w:tcW w:w="10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827,445 </w:t>
            </w:r>
          </w:p>
        </w:tc>
        <w:tc>
          <w:tcPr>
            <w:tcW w:w="82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4,282 </w:t>
            </w:r>
          </w:p>
        </w:tc>
      </w:tr>
      <w:tr w:rsidR="00FA51CB" w:rsidRPr="0054543F" w:rsidTr="009915B4">
        <w:trPr>
          <w:trHeight w:val="144"/>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MD</w:t>
            </w:r>
          </w:p>
        </w:tc>
        <w:tc>
          <w:tcPr>
            <w:tcW w:w="12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Montgomery</w:t>
            </w:r>
          </w:p>
        </w:tc>
        <w:tc>
          <w:tcPr>
            <w:tcW w:w="146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2,600,000,000 </w:t>
            </w:r>
          </w:p>
        </w:tc>
        <w:tc>
          <w:tcPr>
            <w:tcW w:w="124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240,000,000 </w:t>
            </w:r>
          </w:p>
        </w:tc>
        <w:tc>
          <w:tcPr>
            <w:tcW w:w="100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 7.5-8% </w:t>
            </w:r>
          </w:p>
        </w:tc>
        <w:tc>
          <w:tcPr>
            <w:tcW w:w="10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932,131 </w:t>
            </w:r>
          </w:p>
        </w:tc>
        <w:tc>
          <w:tcPr>
            <w:tcW w:w="82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9,089 </w:t>
            </w:r>
          </w:p>
        </w:tc>
      </w:tr>
      <w:tr w:rsidR="00FA51CB" w:rsidRPr="0054543F" w:rsidTr="009915B4">
        <w:trPr>
          <w:trHeight w:val="144"/>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OR</w:t>
            </w:r>
          </w:p>
        </w:tc>
        <w:tc>
          <w:tcPr>
            <w:tcW w:w="12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Multnomah</w:t>
            </w:r>
          </w:p>
        </w:tc>
        <w:tc>
          <w:tcPr>
            <w:tcW w:w="146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109,900,000 </w:t>
            </w:r>
          </w:p>
        </w:tc>
        <w:tc>
          <w:tcPr>
            <w:tcW w:w="124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12,700,000 </w:t>
            </w:r>
          </w:p>
        </w:tc>
        <w:tc>
          <w:tcPr>
            <w:tcW w:w="100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 $3.2m </w:t>
            </w:r>
          </w:p>
        </w:tc>
        <w:tc>
          <w:tcPr>
            <w:tcW w:w="939"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681,454 </w:t>
            </w:r>
          </w:p>
        </w:tc>
        <w:tc>
          <w:tcPr>
            <w:tcW w:w="82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4,281 </w:t>
            </w:r>
          </w:p>
        </w:tc>
      </w:tr>
      <w:tr w:rsidR="00FA51CB" w:rsidRPr="0054543F" w:rsidTr="009915B4">
        <w:trPr>
          <w:trHeight w:val="144"/>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MI</w:t>
            </w:r>
          </w:p>
        </w:tc>
        <w:tc>
          <w:tcPr>
            <w:tcW w:w="12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Oakland</w:t>
            </w:r>
          </w:p>
        </w:tc>
        <w:tc>
          <w:tcPr>
            <w:tcW w:w="146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829,700,000 </w:t>
            </w:r>
          </w:p>
        </w:tc>
        <w:tc>
          <w:tcPr>
            <w:tcW w:w="124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60,200,000 </w:t>
            </w:r>
          </w:p>
        </w:tc>
        <w:tc>
          <w:tcPr>
            <w:tcW w:w="100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jc w:val="right"/>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7.50%</w:t>
            </w:r>
          </w:p>
        </w:tc>
        <w:tc>
          <w:tcPr>
            <w:tcW w:w="10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1,214,255 </w:t>
            </w:r>
          </w:p>
        </w:tc>
        <w:tc>
          <w:tcPr>
            <w:tcW w:w="82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4,536 </w:t>
            </w:r>
          </w:p>
        </w:tc>
      </w:tr>
      <w:tr w:rsidR="00FA51CB" w:rsidRPr="0054543F" w:rsidTr="009915B4">
        <w:trPr>
          <w:trHeight w:val="144"/>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TN</w:t>
            </w:r>
          </w:p>
        </w:tc>
        <w:tc>
          <w:tcPr>
            <w:tcW w:w="12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Shelby</w:t>
            </w:r>
          </w:p>
        </w:tc>
        <w:tc>
          <w:tcPr>
            <w:tcW w:w="146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267,362,000 </w:t>
            </w:r>
          </w:p>
        </w:tc>
        <w:tc>
          <w:tcPr>
            <w:tcW w:w="124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28,222,000 </w:t>
            </w:r>
          </w:p>
        </w:tc>
        <w:tc>
          <w:tcPr>
            <w:tcW w:w="100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jc w:val="right"/>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5.25%</w:t>
            </w:r>
          </w:p>
        </w:tc>
        <w:tc>
          <w:tcPr>
            <w:tcW w:w="10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911,438 </w:t>
            </w:r>
          </w:p>
        </w:tc>
        <w:tc>
          <w:tcPr>
            <w:tcW w:w="82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6,277 </w:t>
            </w:r>
          </w:p>
        </w:tc>
      </w:tr>
      <w:tr w:rsidR="00FA51CB" w:rsidRPr="0054543F" w:rsidTr="009915B4">
        <w:trPr>
          <w:trHeight w:val="144"/>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CA</w:t>
            </w:r>
          </w:p>
        </w:tc>
        <w:tc>
          <w:tcPr>
            <w:tcW w:w="12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Sonoma</w:t>
            </w:r>
          </w:p>
        </w:tc>
        <w:tc>
          <w:tcPr>
            <w:tcW w:w="146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381,583,171 </w:t>
            </w:r>
          </w:p>
        </w:tc>
        <w:tc>
          <w:tcPr>
            <w:tcW w:w="124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37,161,214 </w:t>
            </w:r>
          </w:p>
        </w:tc>
        <w:tc>
          <w:tcPr>
            <w:tcW w:w="100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 yes </w:t>
            </w:r>
          </w:p>
        </w:tc>
        <w:tc>
          <w:tcPr>
            <w:tcW w:w="939"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jc w:val="right"/>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8</w:t>
            </w:r>
          </w:p>
        </w:tc>
        <w:tc>
          <w:tcPr>
            <w:tcW w:w="1083"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466,891 </w:t>
            </w:r>
          </w:p>
        </w:tc>
        <w:tc>
          <w:tcPr>
            <w:tcW w:w="820" w:type="dxa"/>
            <w:tcBorders>
              <w:top w:val="nil"/>
              <w:left w:val="nil"/>
              <w:bottom w:val="single" w:sz="4" w:space="0" w:color="auto"/>
              <w:right w:val="single" w:sz="4" w:space="0" w:color="auto"/>
            </w:tcBorders>
            <w:shd w:val="clear" w:color="auto" w:fill="auto"/>
            <w:noWrap/>
            <w:vAlign w:val="bottom"/>
            <w:hideMark/>
          </w:tcPr>
          <w:p w:rsidR="00FA51CB" w:rsidRPr="0054543F" w:rsidRDefault="00FA51CB" w:rsidP="00F26D40">
            <w:pPr>
              <w:spacing w:after="0" w:line="240" w:lineRule="auto"/>
              <w:rPr>
                <w:rFonts w:ascii="Times New Roman" w:eastAsia="Times New Roman" w:hAnsi="Times New Roman" w:cs="Times New Roman"/>
                <w:color w:val="000000"/>
                <w:sz w:val="20"/>
                <w:szCs w:val="20"/>
              </w:rPr>
            </w:pPr>
            <w:r w:rsidRPr="0054543F">
              <w:rPr>
                <w:rFonts w:ascii="Times New Roman" w:eastAsia="Times New Roman" w:hAnsi="Times New Roman" w:cs="Times New Roman"/>
                <w:color w:val="000000"/>
                <w:sz w:val="20"/>
                <w:szCs w:val="20"/>
              </w:rPr>
              <w:t xml:space="preserve">4,154 </w:t>
            </w:r>
          </w:p>
        </w:tc>
      </w:tr>
    </w:tbl>
    <w:p w:rsidR="009454E6" w:rsidRPr="0019445A" w:rsidRDefault="008406F0" w:rsidP="0019750D">
      <w:pPr>
        <w:spacing w:after="0" w:line="240" w:lineRule="auto"/>
        <w:contextualSpacing/>
        <w:jc w:val="both"/>
        <w:rPr>
          <w:rFonts w:ascii="Times New Roman" w:eastAsia="Times New Roman" w:hAnsi="Times New Roman" w:cs="Times New Roman"/>
          <w:color w:val="000000"/>
          <w:sz w:val="16"/>
          <w:szCs w:val="16"/>
        </w:rPr>
      </w:pPr>
      <w:r w:rsidRPr="0019445A">
        <w:rPr>
          <w:rFonts w:ascii="Times New Roman" w:eastAsia="Times New Roman" w:hAnsi="Times New Roman" w:cs="Times New Roman"/>
          <w:color w:val="000000"/>
          <w:sz w:val="16"/>
          <w:szCs w:val="16"/>
        </w:rPr>
        <w:t xml:space="preserve">Source: </w:t>
      </w:r>
      <w:r w:rsidR="009454E6" w:rsidRPr="0019445A">
        <w:rPr>
          <w:rFonts w:ascii="Times New Roman" w:eastAsia="Times New Roman" w:hAnsi="Times New Roman" w:cs="Times New Roman"/>
          <w:color w:val="000000"/>
          <w:sz w:val="16"/>
          <w:szCs w:val="16"/>
        </w:rPr>
        <w:t xml:space="preserve">Summarized from </w:t>
      </w:r>
      <w:r w:rsidRPr="0019445A">
        <w:rPr>
          <w:rFonts w:ascii="Times New Roman" w:eastAsia="Times New Roman" w:hAnsi="Times New Roman" w:cs="Times New Roman"/>
          <w:color w:val="000000"/>
          <w:sz w:val="16"/>
          <w:szCs w:val="16"/>
        </w:rPr>
        <w:t xml:space="preserve">the </w:t>
      </w:r>
      <w:r w:rsidR="009454E6" w:rsidRPr="0019445A">
        <w:rPr>
          <w:rFonts w:ascii="Times New Roman" w:eastAsia="Times New Roman" w:hAnsi="Times New Roman" w:cs="Times New Roman"/>
          <w:color w:val="000000"/>
          <w:sz w:val="16"/>
          <w:szCs w:val="16"/>
        </w:rPr>
        <w:t>Sanford 2007 survey.</w:t>
      </w:r>
    </w:p>
    <w:p w:rsidR="00DC5875" w:rsidRDefault="00DC5875" w:rsidP="0007018D">
      <w:pPr>
        <w:spacing w:after="0" w:line="240" w:lineRule="auto"/>
        <w:ind w:firstLine="720"/>
        <w:contextualSpacing/>
        <w:jc w:val="both"/>
        <w:rPr>
          <w:rFonts w:ascii="Times New Roman" w:eastAsia="Times New Roman" w:hAnsi="Times New Roman" w:cs="Times New Roman"/>
          <w:color w:val="000000"/>
          <w:sz w:val="20"/>
          <w:szCs w:val="20"/>
        </w:rPr>
      </w:pPr>
    </w:p>
    <w:p w:rsidR="00911AF5" w:rsidRDefault="009454E6" w:rsidP="0007018D">
      <w:pPr>
        <w:spacing w:after="0" w:line="240" w:lineRule="auto"/>
        <w:ind w:firstLine="720"/>
        <w:contextualSpacing/>
        <w:jc w:val="both"/>
        <w:rPr>
          <w:rFonts w:ascii="Times New Roman" w:eastAsia="Times New Roman" w:hAnsi="Times New Roman" w:cs="Times New Roman"/>
          <w:color w:val="000000"/>
          <w:sz w:val="20"/>
          <w:szCs w:val="20"/>
        </w:rPr>
      </w:pPr>
      <w:r w:rsidRPr="0019750D">
        <w:rPr>
          <w:rFonts w:ascii="Times New Roman" w:eastAsia="Times New Roman" w:hAnsi="Times New Roman" w:cs="Times New Roman"/>
          <w:color w:val="000000"/>
          <w:sz w:val="20"/>
          <w:szCs w:val="20"/>
        </w:rPr>
        <w:lastRenderedPageBreak/>
        <w:t>To conduct o</w:t>
      </w:r>
      <w:r w:rsidR="00402313" w:rsidRPr="0019750D">
        <w:rPr>
          <w:rFonts w:ascii="Times New Roman" w:eastAsia="Times New Roman" w:hAnsi="Times New Roman" w:cs="Times New Roman"/>
          <w:color w:val="000000"/>
          <w:sz w:val="20"/>
          <w:szCs w:val="20"/>
        </w:rPr>
        <w:t>ur analysis, we accessed the Comprehensive Annual Financial Reports (CAFR) for</w:t>
      </w:r>
      <w:r w:rsidR="00B979FB">
        <w:rPr>
          <w:rFonts w:ascii="Times New Roman" w:eastAsia="Times New Roman" w:hAnsi="Times New Roman" w:cs="Times New Roman"/>
          <w:color w:val="000000"/>
          <w:sz w:val="20"/>
          <w:szCs w:val="20"/>
        </w:rPr>
        <w:t xml:space="preserve"> the 12 </w:t>
      </w:r>
      <w:r w:rsidR="00502D4F">
        <w:rPr>
          <w:rFonts w:ascii="Times New Roman" w:eastAsia="Times New Roman" w:hAnsi="Times New Roman" w:cs="Times New Roman"/>
          <w:color w:val="000000"/>
          <w:sz w:val="20"/>
          <w:szCs w:val="20"/>
        </w:rPr>
        <w:t xml:space="preserve">U.S. </w:t>
      </w:r>
      <w:r w:rsidR="00B979FB">
        <w:rPr>
          <w:rFonts w:ascii="Times New Roman" w:eastAsia="Times New Roman" w:hAnsi="Times New Roman" w:cs="Times New Roman"/>
          <w:color w:val="000000"/>
          <w:sz w:val="20"/>
          <w:szCs w:val="20"/>
        </w:rPr>
        <w:t>counties</w:t>
      </w:r>
      <w:r w:rsidR="00402313" w:rsidRPr="0019750D">
        <w:rPr>
          <w:rFonts w:ascii="Times New Roman" w:eastAsia="Times New Roman" w:hAnsi="Times New Roman" w:cs="Times New Roman"/>
          <w:color w:val="000000"/>
          <w:sz w:val="20"/>
          <w:szCs w:val="20"/>
        </w:rPr>
        <w:t xml:space="preserve"> </w:t>
      </w:r>
      <w:r w:rsidR="00502D4F">
        <w:rPr>
          <w:rFonts w:ascii="Times New Roman" w:eastAsia="Times New Roman" w:hAnsi="Times New Roman" w:cs="Times New Roman"/>
          <w:color w:val="000000"/>
          <w:sz w:val="20"/>
          <w:szCs w:val="20"/>
        </w:rPr>
        <w:t xml:space="preserve">for </w:t>
      </w:r>
      <w:r w:rsidR="00402313" w:rsidRPr="0019750D">
        <w:rPr>
          <w:rFonts w:ascii="Times New Roman" w:eastAsia="Times New Roman" w:hAnsi="Times New Roman" w:cs="Times New Roman"/>
          <w:color w:val="000000"/>
          <w:sz w:val="20"/>
          <w:szCs w:val="20"/>
        </w:rPr>
        <w:t xml:space="preserve">the years 2006 to 2013. </w:t>
      </w:r>
      <w:r w:rsidR="0028535C" w:rsidRPr="0019750D">
        <w:rPr>
          <w:rFonts w:ascii="Times New Roman" w:eastAsia="Times New Roman" w:hAnsi="Times New Roman" w:cs="Times New Roman"/>
          <w:color w:val="000000"/>
          <w:sz w:val="20"/>
          <w:szCs w:val="20"/>
        </w:rPr>
        <w:t>We extracted information from footnotes and Required Supplemental Information (RSI) for each of the 12 counties.</w:t>
      </w:r>
      <w:r w:rsidR="0007018D">
        <w:rPr>
          <w:rFonts w:ascii="Times New Roman" w:eastAsia="Times New Roman" w:hAnsi="Times New Roman" w:cs="Times New Roman"/>
          <w:color w:val="000000"/>
          <w:sz w:val="20"/>
          <w:szCs w:val="20"/>
        </w:rPr>
        <w:t xml:space="preserve"> </w:t>
      </w:r>
      <w:r w:rsidR="008406F0" w:rsidRPr="0019750D">
        <w:rPr>
          <w:rFonts w:ascii="Times New Roman" w:eastAsia="Times New Roman" w:hAnsi="Times New Roman" w:cs="Times New Roman"/>
          <w:color w:val="000000"/>
          <w:sz w:val="20"/>
          <w:szCs w:val="20"/>
        </w:rPr>
        <w:t>Compared to Table 2</w:t>
      </w:r>
      <w:r w:rsidR="0028535C" w:rsidRPr="0019750D">
        <w:rPr>
          <w:rFonts w:ascii="Times New Roman" w:eastAsia="Times New Roman" w:hAnsi="Times New Roman" w:cs="Times New Roman"/>
          <w:color w:val="000000"/>
          <w:sz w:val="20"/>
          <w:szCs w:val="20"/>
        </w:rPr>
        <w:t xml:space="preserve"> when counties s</w:t>
      </w:r>
      <w:r w:rsidR="00362068">
        <w:rPr>
          <w:rFonts w:ascii="Times New Roman" w:eastAsia="Times New Roman" w:hAnsi="Times New Roman" w:cs="Times New Roman"/>
          <w:color w:val="000000"/>
          <w:sz w:val="20"/>
          <w:szCs w:val="20"/>
        </w:rPr>
        <w:t>tarted to implement GASB 45</w:t>
      </w:r>
      <w:r w:rsidR="00AA5C83">
        <w:rPr>
          <w:rFonts w:ascii="Times New Roman" w:eastAsia="Times New Roman" w:hAnsi="Times New Roman" w:cs="Times New Roman"/>
          <w:color w:val="000000"/>
          <w:sz w:val="20"/>
          <w:szCs w:val="20"/>
        </w:rPr>
        <w:t>, disclosure</w:t>
      </w:r>
      <w:r w:rsidR="00B979FB">
        <w:rPr>
          <w:rFonts w:ascii="Times New Roman" w:eastAsia="Times New Roman" w:hAnsi="Times New Roman" w:cs="Times New Roman"/>
          <w:color w:val="000000"/>
          <w:sz w:val="20"/>
          <w:szCs w:val="20"/>
        </w:rPr>
        <w:t>s</w:t>
      </w:r>
      <w:r w:rsidR="00362068">
        <w:rPr>
          <w:rFonts w:ascii="Times New Roman" w:eastAsia="Times New Roman" w:hAnsi="Times New Roman" w:cs="Times New Roman"/>
          <w:color w:val="000000"/>
          <w:sz w:val="20"/>
          <w:szCs w:val="20"/>
        </w:rPr>
        <w:t xml:space="preserve"> have</w:t>
      </w:r>
      <w:r w:rsidR="0028535C" w:rsidRPr="0019750D">
        <w:rPr>
          <w:rFonts w:ascii="Times New Roman" w:eastAsia="Times New Roman" w:hAnsi="Times New Roman" w:cs="Times New Roman"/>
          <w:color w:val="000000"/>
          <w:sz w:val="20"/>
          <w:szCs w:val="20"/>
        </w:rPr>
        <w:t xml:space="preserve"> become much enhanced with more categories added. In years after the initial reporting of ARC, governments started using Annual OPEB Cost (AOC) in their disclosures. </w:t>
      </w:r>
      <w:r w:rsidR="00911AF5" w:rsidRPr="0019750D">
        <w:rPr>
          <w:rFonts w:ascii="Times New Roman" w:eastAsia="Times New Roman" w:hAnsi="Times New Roman" w:cs="Times New Roman"/>
          <w:color w:val="000000"/>
          <w:sz w:val="20"/>
          <w:szCs w:val="20"/>
        </w:rPr>
        <w:t>Due to the differences in the size of the counties, reporting percentages provide a basis of comparison among our sample.</w:t>
      </w:r>
    </w:p>
    <w:p w:rsidR="009915B4" w:rsidRDefault="009915B4" w:rsidP="009915B4">
      <w:pPr>
        <w:spacing w:after="0" w:line="240" w:lineRule="auto"/>
        <w:contextualSpacing/>
        <w:jc w:val="both"/>
        <w:rPr>
          <w:rFonts w:ascii="Times New Roman" w:eastAsia="Times New Roman" w:hAnsi="Times New Roman" w:cs="Times New Roman"/>
          <w:sz w:val="20"/>
          <w:szCs w:val="20"/>
        </w:rPr>
      </w:pPr>
    </w:p>
    <w:p w:rsidR="009915B4" w:rsidRPr="0079756B" w:rsidRDefault="009915B4" w:rsidP="009915B4">
      <w:pPr>
        <w:spacing w:after="0" w:line="240" w:lineRule="auto"/>
        <w:contextualSpacing/>
        <w:jc w:val="center"/>
        <w:rPr>
          <w:rFonts w:ascii="Times New Roman" w:eastAsia="Times New Roman" w:hAnsi="Times New Roman" w:cs="Times New Roman"/>
          <w:b/>
          <w:sz w:val="20"/>
          <w:szCs w:val="20"/>
        </w:rPr>
      </w:pPr>
      <w:r w:rsidRPr="0079756B">
        <w:rPr>
          <w:rFonts w:ascii="Times New Roman" w:eastAsia="Times New Roman" w:hAnsi="Times New Roman" w:cs="Times New Roman"/>
          <w:b/>
          <w:sz w:val="20"/>
          <w:szCs w:val="20"/>
        </w:rPr>
        <w:t>Table 3: Annu</w:t>
      </w:r>
      <w:r w:rsidR="00B979FB">
        <w:rPr>
          <w:rFonts w:ascii="Times New Roman" w:eastAsia="Times New Roman" w:hAnsi="Times New Roman" w:cs="Times New Roman"/>
          <w:b/>
          <w:sz w:val="20"/>
          <w:szCs w:val="20"/>
        </w:rPr>
        <w:t>a</w:t>
      </w:r>
      <w:r w:rsidRPr="0079756B">
        <w:rPr>
          <w:rFonts w:ascii="Times New Roman" w:eastAsia="Times New Roman" w:hAnsi="Times New Roman" w:cs="Times New Roman"/>
          <w:b/>
          <w:sz w:val="20"/>
          <w:szCs w:val="20"/>
        </w:rPr>
        <w:t>l OPEB Cost</w:t>
      </w:r>
      <w:r>
        <w:rPr>
          <w:rFonts w:ascii="Times New Roman" w:eastAsia="Times New Roman" w:hAnsi="Times New Roman" w:cs="Times New Roman"/>
          <w:b/>
          <w:sz w:val="20"/>
          <w:szCs w:val="20"/>
        </w:rPr>
        <w:t>, 2006 - 2013</w:t>
      </w:r>
    </w:p>
    <w:tbl>
      <w:tblPr>
        <w:tblW w:w="0" w:type="auto"/>
        <w:tblInd w:w="-5" w:type="dxa"/>
        <w:tblLook w:val="04A0" w:firstRow="1" w:lastRow="0" w:firstColumn="1" w:lastColumn="0" w:noHBand="0" w:noVBand="1"/>
      </w:tblPr>
      <w:tblGrid>
        <w:gridCol w:w="1188"/>
        <w:gridCol w:w="676"/>
        <w:gridCol w:w="1198"/>
        <w:gridCol w:w="1164"/>
        <w:gridCol w:w="1152"/>
        <w:gridCol w:w="1282"/>
        <w:gridCol w:w="1324"/>
        <w:gridCol w:w="877"/>
      </w:tblGrid>
      <w:tr w:rsidR="009915B4" w:rsidRPr="00CE5FA0" w:rsidTr="00152ED8">
        <w:trPr>
          <w:trHeight w:val="144"/>
          <w:tblHeader/>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b/>
                <w:bCs/>
                <w:color w:val="000000"/>
                <w:sz w:val="16"/>
                <w:szCs w:val="16"/>
              </w:rPr>
            </w:pPr>
            <w:r w:rsidRPr="00CE5FA0">
              <w:rPr>
                <w:rFonts w:ascii="Times New Roman" w:eastAsia="Times New Roman" w:hAnsi="Times New Roman" w:cs="Times New Roman"/>
                <w:b/>
                <w:bCs/>
                <w:color w:val="000000"/>
                <w:sz w:val="16"/>
                <w:szCs w:val="16"/>
              </w:rPr>
              <w:t>County</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rPr>
                <w:rFonts w:ascii="Times New Roman" w:eastAsia="Times New Roman" w:hAnsi="Times New Roman" w:cs="Times New Roman"/>
                <w:b/>
                <w:bCs/>
                <w:color w:val="000000"/>
                <w:sz w:val="16"/>
                <w:szCs w:val="16"/>
              </w:rPr>
            </w:pPr>
            <w:r w:rsidRPr="00CE5FA0">
              <w:rPr>
                <w:rFonts w:ascii="Times New Roman" w:eastAsia="Times New Roman" w:hAnsi="Times New Roman" w:cs="Times New Roman"/>
                <w:b/>
                <w:bCs/>
                <w:color w:val="000000"/>
                <w:sz w:val="16"/>
                <w:szCs w:val="16"/>
              </w:rPr>
              <w:t>Fiscal year</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915B4" w:rsidRPr="00CE5FA0" w:rsidRDefault="00FF4F4A" w:rsidP="00F26D40">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 AOC (Annual OPEB c</w:t>
            </w:r>
            <w:r w:rsidR="009915B4" w:rsidRPr="00CE5FA0">
              <w:rPr>
                <w:rFonts w:ascii="Times New Roman" w:eastAsia="Times New Roman" w:hAnsi="Times New Roman" w:cs="Times New Roman"/>
                <w:b/>
                <w:bCs/>
                <w:color w:val="000000"/>
                <w:sz w:val="16"/>
                <w:szCs w:val="16"/>
              </w:rPr>
              <w:t xml:space="preserve">ost)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915B4" w:rsidRPr="00CE5FA0" w:rsidRDefault="00FF4F4A" w:rsidP="00F26D40">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 A</w:t>
            </w:r>
            <w:r w:rsidR="009915B4" w:rsidRPr="00CE5FA0">
              <w:rPr>
                <w:rFonts w:ascii="Times New Roman" w:eastAsia="Times New Roman" w:hAnsi="Times New Roman" w:cs="Times New Roman"/>
                <w:b/>
                <w:bCs/>
                <w:color w:val="000000"/>
                <w:sz w:val="16"/>
                <w:szCs w:val="16"/>
              </w:rPr>
              <w:t xml:space="preserve">ctual contribution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rPr>
                <w:rFonts w:ascii="Times New Roman" w:eastAsia="Times New Roman" w:hAnsi="Times New Roman" w:cs="Times New Roman"/>
                <w:b/>
                <w:bCs/>
                <w:color w:val="000000"/>
                <w:sz w:val="16"/>
                <w:szCs w:val="16"/>
              </w:rPr>
            </w:pPr>
            <w:r w:rsidRPr="00CE5FA0">
              <w:rPr>
                <w:rFonts w:ascii="Times New Roman" w:eastAsia="Times New Roman" w:hAnsi="Times New Roman" w:cs="Times New Roman"/>
                <w:b/>
                <w:bCs/>
                <w:color w:val="000000"/>
                <w:sz w:val="16"/>
                <w:szCs w:val="16"/>
              </w:rPr>
              <w:t>% of AOC contributed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915B4" w:rsidRPr="00CE5FA0" w:rsidRDefault="00FF4F4A" w:rsidP="00F26D40">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 I</w:t>
            </w:r>
            <w:r w:rsidR="009915B4" w:rsidRPr="00CE5FA0">
              <w:rPr>
                <w:rFonts w:ascii="Times New Roman" w:eastAsia="Times New Roman" w:hAnsi="Times New Roman" w:cs="Times New Roman"/>
                <w:b/>
                <w:bCs/>
                <w:color w:val="000000"/>
                <w:sz w:val="16"/>
                <w:szCs w:val="16"/>
              </w:rPr>
              <w:t xml:space="preserve">ncrease in OPEB obligation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rPr>
                <w:rFonts w:ascii="Times New Roman" w:eastAsia="Times New Roman" w:hAnsi="Times New Roman" w:cs="Times New Roman"/>
                <w:b/>
                <w:bCs/>
                <w:color w:val="000000"/>
                <w:sz w:val="16"/>
                <w:szCs w:val="16"/>
              </w:rPr>
            </w:pPr>
            <w:r w:rsidRPr="00CE5FA0">
              <w:rPr>
                <w:rFonts w:ascii="Times New Roman" w:eastAsia="Times New Roman" w:hAnsi="Times New Roman" w:cs="Times New Roman"/>
                <w:b/>
                <w:bCs/>
                <w:color w:val="000000"/>
                <w:sz w:val="16"/>
                <w:szCs w:val="16"/>
              </w:rPr>
              <w:t xml:space="preserve"> Net OPEB obligation balance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915B4" w:rsidRPr="00CE5FA0" w:rsidRDefault="00FF4F4A" w:rsidP="00F26D40">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D</w:t>
            </w:r>
            <w:r w:rsidR="009915B4" w:rsidRPr="00CE5FA0">
              <w:rPr>
                <w:rFonts w:ascii="Times New Roman" w:eastAsia="Times New Roman" w:hAnsi="Times New Roman" w:cs="Times New Roman"/>
                <w:b/>
                <w:bCs/>
                <w:color w:val="000000"/>
                <w:sz w:val="16"/>
                <w:szCs w:val="16"/>
              </w:rPr>
              <w:t xml:space="preserve">iscount rate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Chester</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2006</w:t>
            </w:r>
          </w:p>
        </w:tc>
        <w:tc>
          <w:tcPr>
            <w:tcW w:w="0" w:type="auto"/>
            <w:tcBorders>
              <w:top w:val="nil"/>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647,000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645,060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99.70%</w:t>
            </w:r>
          </w:p>
        </w:tc>
        <w:tc>
          <w:tcPr>
            <w:tcW w:w="0" w:type="auto"/>
            <w:tcBorders>
              <w:top w:val="nil"/>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1,940 </w:t>
            </w:r>
          </w:p>
        </w:tc>
        <w:tc>
          <w:tcPr>
            <w:tcW w:w="0" w:type="auto"/>
            <w:tcBorders>
              <w:top w:val="nil"/>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1,940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Chester</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2007</w:t>
            </w:r>
          </w:p>
        </w:tc>
        <w:tc>
          <w:tcPr>
            <w:tcW w:w="0" w:type="auto"/>
            <w:tcBorders>
              <w:top w:val="nil"/>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647,000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647,482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100.07%</w:t>
            </w:r>
          </w:p>
        </w:tc>
        <w:tc>
          <w:tcPr>
            <w:tcW w:w="0" w:type="auto"/>
            <w:tcBorders>
              <w:top w:val="nil"/>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(482)</w:t>
            </w:r>
          </w:p>
        </w:tc>
        <w:tc>
          <w:tcPr>
            <w:tcW w:w="0" w:type="auto"/>
            <w:tcBorders>
              <w:top w:val="nil"/>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1,458 </w:t>
            </w:r>
          </w:p>
        </w:tc>
        <w:tc>
          <w:tcPr>
            <w:tcW w:w="0" w:type="auto"/>
            <w:tcBorders>
              <w:top w:val="nil"/>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Chester</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2008</w:t>
            </w:r>
          </w:p>
        </w:tc>
        <w:tc>
          <w:tcPr>
            <w:tcW w:w="0" w:type="auto"/>
            <w:tcBorders>
              <w:top w:val="nil"/>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588,349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524,037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89.07%</w:t>
            </w:r>
          </w:p>
        </w:tc>
        <w:tc>
          <w:tcPr>
            <w:tcW w:w="0" w:type="auto"/>
            <w:tcBorders>
              <w:top w:val="nil"/>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64,312 </w:t>
            </w:r>
          </w:p>
        </w:tc>
        <w:tc>
          <w:tcPr>
            <w:tcW w:w="0" w:type="auto"/>
            <w:tcBorders>
              <w:top w:val="nil"/>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65,770 </w:t>
            </w:r>
          </w:p>
        </w:tc>
        <w:tc>
          <w:tcPr>
            <w:tcW w:w="0" w:type="auto"/>
            <w:tcBorders>
              <w:top w:val="nil"/>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Chester</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2009</w:t>
            </w:r>
          </w:p>
        </w:tc>
        <w:tc>
          <w:tcPr>
            <w:tcW w:w="0" w:type="auto"/>
            <w:tcBorders>
              <w:top w:val="nil"/>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588,349 </w:t>
            </w:r>
          </w:p>
        </w:tc>
        <w:tc>
          <w:tcPr>
            <w:tcW w:w="0" w:type="auto"/>
            <w:tcBorders>
              <w:top w:val="nil"/>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389,674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66.23%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198,675 </w:t>
            </w:r>
          </w:p>
        </w:tc>
        <w:tc>
          <w:tcPr>
            <w:tcW w:w="0" w:type="auto"/>
            <w:tcBorders>
              <w:top w:val="nil"/>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264,445 </w:t>
            </w:r>
          </w:p>
        </w:tc>
        <w:tc>
          <w:tcPr>
            <w:tcW w:w="0" w:type="auto"/>
            <w:tcBorders>
              <w:top w:val="nil"/>
              <w:left w:val="nil"/>
              <w:bottom w:val="single" w:sz="4" w:space="0" w:color="auto"/>
              <w:right w:val="single" w:sz="4" w:space="0" w:color="auto"/>
            </w:tcBorders>
            <w:shd w:val="clear" w:color="auto" w:fill="auto"/>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Chester</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450,445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107,553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23.88%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977,642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1,242,087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Chester</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447,771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237,880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53.13%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209,891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1,451,978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Chester</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490,889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206,400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42.05%</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284,489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1,736,467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Clark</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39,526,617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8,893,489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22.50%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30,633,128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34,385,709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4.00%</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Clark</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45,137,935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6,361,423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14.10%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38,776,512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73,162,221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Clark</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51,088,752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6,310,461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12.40%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44,778,291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117,940,512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Clark</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79,237,356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7,947,782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71,289,574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189,230,086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Clark</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78,338,302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6,679,395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8.50%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71,658,907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251,163,322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Clark</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76,335,351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8,982,188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11.80%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67,353,163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318,516,485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Fairfax</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24,764,000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21,557,000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87%</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3,207,000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(23,825,610)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Fairfax</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32,091,000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17,771,000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14,320,000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(9,505,610)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Fairfax</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35,189,000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21,004,000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14,185,000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4,679,390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Fairfax</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37,700,000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44,421,000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118%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(6,721,000)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(2,041,610)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Fairfax</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38,832,000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38,306,000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99%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526,000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(1,515,610)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7.5%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Gwinnett</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2007</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15,305,000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21,714,000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142%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(6,409,000)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(6,409,000)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Gwinnett</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15,234,691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14,574,000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96%</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660,691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(5,748,229)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7.00%</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Gwinnett</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14,244,718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16,520,683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116%</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(2,275,965)</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(8,024,194)</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Gwinnett</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15,097,989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26,840,151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178%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(11,742,162)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(19,766,356)</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Gwinnett</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15,956,178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24,312,764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152%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(8,356,586)</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(28,122,942)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Gwinnett</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15,216,243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16,876,530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111%</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(1,660,287)</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(29,783,229)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Harris</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97,628,162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27,418,754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70,209,408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70,209,408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5.25%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Harris</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96,615,958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26,823,612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69,792,346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140,001,754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Harris</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89,338,513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30,407,276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58,931,237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198,932,991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Harris</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88,451,513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33,588,280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38%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54,863,233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253,796,224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Harris</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92,618,903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38,812,133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53,806,770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307,602,994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Harris</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91,773,629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38,172,557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53,601,072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361,204,066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4.75%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Hillsborough</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8,958,000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3,965,000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3,965,000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4,993,000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Hillsborough</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5,204,000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4,111,000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1,093,000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6,086,000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3.5%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Hillsborough</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5,544,000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4,476,000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1,068,000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7,154,000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Hillsborough</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5,973,000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4,206,000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1,767,000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8,921,000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Hillsborough</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6,269,000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3,510,000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2,759,000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11,680,000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Hillsborough</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6,047,000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5,266,000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87%</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781,000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12,461,000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Mecklenburg</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14,696,388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14,696,388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100.00%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7.5%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Mecklenburg</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16,708,724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16,102,222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96.37%</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606,502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606,502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7.5%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Mecklenburg</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16,715,920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16,002,628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95.73%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713,292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1,316,182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Mecklenburg</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32,253,235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6,788,811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21.05%</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25,464,424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26,780,606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3.5%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Mecklenburg</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38,654,483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15,663,056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40.52%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22,991,427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49,772,033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Mecklenburg</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48,172,622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15,476,590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32.13%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32,696,032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82,468,065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Montgomery</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102,320,000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43,721,209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42.73%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58,598,791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58,598,791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8%</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Montgomery</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113,139,000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58,202,852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51.44%</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54,936,148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113,534,939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8%</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Montgomery</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109,738,000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42,560,350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38.78%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67,177,650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180,712,589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8%</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Montgomery</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150,836,000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44,051,098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29.20%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106,784,902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287,497,491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6%</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Montgomery</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161,060,000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67,863,681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42.14%</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93,196,319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380,693,810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6.0%</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Montgomery</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138,891,000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90,526,766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65.18%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48,364,234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429,058,044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7.5%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Multnomah</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2004</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9,165,000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1,833,000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7,332,000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23,335,000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Multnomah</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2005</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12,438,000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2,238,840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18.00%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10,199,160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34,099,000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3.5%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Multnomah</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2006</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12,716,000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2,073,000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16.30%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10,643,000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44,742,000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Multnomah</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2007</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15,083,000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1,835,000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12.17%</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13,248,000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57,990,000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Multnomah</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14,902,000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2,756,000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18.49%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12,146,000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70,136,000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lastRenderedPageBreak/>
              <w:t>Multnomah</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12,232,000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2,195,000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17.94%</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10,037,000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80,173,000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Multnomah</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12,313,000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2,438,000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19.80%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9,875,000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90,048,000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Multnomah</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14,689,000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7,334,000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49.93%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7,355,000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97,403,000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4.0%</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Multnomah</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15,260,000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7,476,000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48.99%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7,784,000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105,187,000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Multnomah</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11,980,000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6,467,000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53.98%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5,513,000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110,700,000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3.5%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Oakland</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2006</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37,488,000 </w:t>
            </w:r>
          </w:p>
        </w:tc>
        <w:tc>
          <w:tcPr>
            <w:tcW w:w="0" w:type="auto"/>
            <w:tcBorders>
              <w:top w:val="nil"/>
              <w:left w:val="nil"/>
              <w:bottom w:val="single" w:sz="4" w:space="0" w:color="auto"/>
              <w:right w:val="single" w:sz="4" w:space="0" w:color="auto"/>
            </w:tcBorders>
            <w:shd w:val="clear" w:color="auto" w:fill="auto"/>
            <w:noWrap/>
            <w:vAlign w:val="center"/>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37,488,000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Oakland</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2007</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54,780,659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54,780,659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7.5%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Oakland</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60,200,684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60,200,684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7.5%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Oakland</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61,863,580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61,863,580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7.5%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Oakland</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45,839,484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364,912,625)</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7.5%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Oakland</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37,116,312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(327,796,313)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7.5%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Oakland</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27,858,341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27,858,341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299,937,972)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7.5%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Oakland</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28,359,365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101,694,365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(198,243,607)</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7.5%</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Shelby</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34,227,000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42,228,042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123%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(8,001,042)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(8,001,042)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Shelby</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31,600,000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18,329,123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13,270,877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5,269,835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Shelby</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29,007,000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20,611,575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71%</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8,395,425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13,665,260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Shelby</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30,122,000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24,850,458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5,271,542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18,936,802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Shelby</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26,928,000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31,914,109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119%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(4,986,109)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13,950,693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Shelby</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32,983,377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29,232,920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89%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3,750,457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17,701,150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Sonoma</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2008</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37,039,000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19,543,000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17,496,000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17,496,000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Sonoma</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39,009,000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21,982,000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17,027,000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34,523,000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Sonoma</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22,548,000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18,226,000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4,322,000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38,845,000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Sonoma</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24,465,000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23,042,000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1,423,000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40,268,000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Sonoma</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26,313,000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21,814,000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83%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4,499,000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44,767,000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r w:rsidR="009915B4" w:rsidRPr="00CE5FA0" w:rsidTr="009915B4">
        <w:trPr>
          <w:trHeight w:val="144"/>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Sonoma</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27,692,000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21,851,000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jc w:val="right"/>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5,841,000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xml:space="preserve">50,608,000 </w:t>
            </w:r>
          </w:p>
        </w:tc>
        <w:tc>
          <w:tcPr>
            <w:tcW w:w="0" w:type="auto"/>
            <w:tcBorders>
              <w:top w:val="nil"/>
              <w:left w:val="nil"/>
              <w:bottom w:val="single" w:sz="4" w:space="0" w:color="auto"/>
              <w:right w:val="single" w:sz="4" w:space="0" w:color="auto"/>
            </w:tcBorders>
            <w:shd w:val="clear" w:color="auto" w:fill="auto"/>
            <w:noWrap/>
            <w:vAlign w:val="bottom"/>
            <w:hideMark/>
          </w:tcPr>
          <w:p w:rsidR="009915B4" w:rsidRPr="00CE5FA0" w:rsidRDefault="009915B4" w:rsidP="00F26D40">
            <w:pPr>
              <w:spacing w:after="0" w:line="240" w:lineRule="auto"/>
              <w:rPr>
                <w:rFonts w:ascii="Times New Roman" w:eastAsia="Times New Roman" w:hAnsi="Times New Roman" w:cs="Times New Roman"/>
                <w:color w:val="000000"/>
                <w:sz w:val="16"/>
                <w:szCs w:val="16"/>
              </w:rPr>
            </w:pPr>
            <w:r w:rsidRPr="00CE5FA0">
              <w:rPr>
                <w:rFonts w:ascii="Times New Roman" w:eastAsia="Times New Roman" w:hAnsi="Times New Roman" w:cs="Times New Roman"/>
                <w:color w:val="000000"/>
                <w:sz w:val="16"/>
                <w:szCs w:val="16"/>
              </w:rPr>
              <w:t> </w:t>
            </w:r>
          </w:p>
        </w:tc>
      </w:tr>
    </w:tbl>
    <w:p w:rsidR="009915B4" w:rsidRPr="001A7485" w:rsidRDefault="00641A83" w:rsidP="009915B4">
      <w:pPr>
        <w:spacing w:after="120" w:line="24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Variable definitions:</w:t>
      </w:r>
      <w:r w:rsidR="00D75B33">
        <w:rPr>
          <w:rFonts w:ascii="Times New Roman" w:eastAsia="Times New Roman" w:hAnsi="Times New Roman" w:cs="Times New Roman"/>
          <w:i/>
          <w:color w:val="000000"/>
          <w:sz w:val="18"/>
          <w:szCs w:val="18"/>
        </w:rPr>
        <w:t xml:space="preserve"> AOC =</w:t>
      </w:r>
      <w:r w:rsidR="009915B4" w:rsidRPr="0049641E">
        <w:rPr>
          <w:rFonts w:ascii="Times New Roman" w:eastAsia="Times New Roman" w:hAnsi="Times New Roman" w:cs="Times New Roman"/>
          <w:i/>
          <w:color w:val="000000"/>
          <w:sz w:val="18"/>
          <w:szCs w:val="18"/>
        </w:rPr>
        <w:t xml:space="preserve"> ARC+interest on Net</w:t>
      </w:r>
      <w:r w:rsidR="00F601BF">
        <w:rPr>
          <w:rFonts w:ascii="Times New Roman" w:eastAsia="Times New Roman" w:hAnsi="Times New Roman" w:cs="Times New Roman"/>
          <w:i/>
          <w:color w:val="000000"/>
          <w:sz w:val="18"/>
          <w:szCs w:val="18"/>
        </w:rPr>
        <w:t xml:space="preserve"> OPEB obligation- adjustment for </w:t>
      </w:r>
      <w:r w:rsidR="009915B4" w:rsidRPr="0049641E">
        <w:rPr>
          <w:rFonts w:ascii="Times New Roman" w:eastAsia="Times New Roman" w:hAnsi="Times New Roman" w:cs="Times New Roman"/>
          <w:i/>
          <w:color w:val="000000"/>
          <w:sz w:val="18"/>
          <w:szCs w:val="18"/>
        </w:rPr>
        <w:t>annual requir</w:t>
      </w:r>
      <w:r w:rsidR="00F601BF">
        <w:rPr>
          <w:rFonts w:ascii="Times New Roman" w:eastAsia="Times New Roman" w:hAnsi="Times New Roman" w:cs="Times New Roman"/>
          <w:i/>
          <w:color w:val="000000"/>
          <w:sz w:val="18"/>
          <w:szCs w:val="18"/>
        </w:rPr>
        <w:t>ed contribution (ARC);</w:t>
      </w:r>
      <w:r w:rsidR="009915B4" w:rsidRPr="0049641E">
        <w:rPr>
          <w:rFonts w:ascii="Times New Roman" w:eastAsia="Times New Roman" w:hAnsi="Times New Roman" w:cs="Times New Roman"/>
          <w:i/>
          <w:color w:val="000000"/>
          <w:sz w:val="18"/>
          <w:szCs w:val="18"/>
        </w:rPr>
        <w:t xml:space="preserve"> </w:t>
      </w:r>
      <w:r w:rsidR="00D75B33">
        <w:rPr>
          <w:rFonts w:ascii="Times New Roman" w:eastAsia="Times New Roman" w:hAnsi="Times New Roman" w:cs="Times New Roman"/>
          <w:i/>
          <w:color w:val="000000"/>
          <w:sz w:val="18"/>
          <w:szCs w:val="18"/>
        </w:rPr>
        <w:t xml:space="preserve">Increase in net OPEB Obligation = </w:t>
      </w:r>
      <w:r w:rsidR="009915B4" w:rsidRPr="0049641E">
        <w:rPr>
          <w:rFonts w:ascii="Times New Roman" w:eastAsia="Times New Roman" w:hAnsi="Times New Roman" w:cs="Times New Roman"/>
          <w:i/>
          <w:color w:val="000000"/>
          <w:sz w:val="18"/>
          <w:szCs w:val="18"/>
        </w:rPr>
        <w:t>AOC-Contribution; % of AOC contributed = actual contribution/AOC. It measures the amount actually contributed as a % of Annual OPEB Cost.</w:t>
      </w:r>
    </w:p>
    <w:p w:rsidR="001546B0" w:rsidRDefault="00A30A13" w:rsidP="009915B4">
      <w:pPr>
        <w:spacing w:after="0" w:line="240" w:lineRule="auto"/>
        <w:ind w:firstLine="720"/>
        <w:jc w:val="both"/>
        <w:rPr>
          <w:rFonts w:ascii="Times New Roman" w:eastAsia="Times New Roman" w:hAnsi="Times New Roman" w:cs="Times New Roman"/>
          <w:color w:val="000000"/>
          <w:sz w:val="20"/>
          <w:szCs w:val="20"/>
        </w:rPr>
      </w:pPr>
      <w:r w:rsidRPr="0019750D">
        <w:rPr>
          <w:rFonts w:ascii="Times New Roman" w:eastAsia="Times New Roman" w:hAnsi="Times New Roman" w:cs="Times New Roman"/>
          <w:color w:val="000000"/>
          <w:sz w:val="20"/>
          <w:szCs w:val="20"/>
        </w:rPr>
        <w:t xml:space="preserve">Table 3 shows that </w:t>
      </w:r>
      <w:r w:rsidR="00F9545B">
        <w:rPr>
          <w:rFonts w:ascii="Times New Roman" w:eastAsia="Times New Roman" w:hAnsi="Times New Roman" w:cs="Times New Roman"/>
          <w:color w:val="000000"/>
          <w:sz w:val="20"/>
          <w:szCs w:val="20"/>
        </w:rPr>
        <w:t xml:space="preserve">the </w:t>
      </w:r>
      <w:r w:rsidR="0028535C" w:rsidRPr="0019750D">
        <w:rPr>
          <w:rFonts w:ascii="Times New Roman" w:eastAsia="Times New Roman" w:hAnsi="Times New Roman" w:cs="Times New Roman"/>
          <w:color w:val="000000"/>
          <w:sz w:val="20"/>
          <w:szCs w:val="20"/>
        </w:rPr>
        <w:t>OPEB</w:t>
      </w:r>
      <w:r w:rsidR="007F16BF" w:rsidRPr="0019750D">
        <w:rPr>
          <w:rFonts w:ascii="Times New Roman" w:eastAsia="Times New Roman" w:hAnsi="Times New Roman" w:cs="Times New Roman"/>
          <w:color w:val="000000"/>
          <w:sz w:val="20"/>
          <w:szCs w:val="20"/>
        </w:rPr>
        <w:t xml:space="preserve"> </w:t>
      </w:r>
      <w:r w:rsidR="00F9545B" w:rsidRPr="0019750D">
        <w:rPr>
          <w:rFonts w:ascii="Times New Roman" w:eastAsia="Times New Roman" w:hAnsi="Times New Roman" w:cs="Times New Roman"/>
          <w:color w:val="000000"/>
          <w:sz w:val="20"/>
          <w:szCs w:val="20"/>
        </w:rPr>
        <w:t>balance for most counties is</w:t>
      </w:r>
      <w:r w:rsidR="00E44BAA" w:rsidRPr="0019750D">
        <w:rPr>
          <w:rFonts w:ascii="Times New Roman" w:eastAsia="Times New Roman" w:hAnsi="Times New Roman" w:cs="Times New Roman"/>
          <w:color w:val="000000"/>
          <w:sz w:val="20"/>
          <w:szCs w:val="20"/>
        </w:rPr>
        <w:t xml:space="preserve"> increasing steadily. </w:t>
      </w:r>
      <w:r w:rsidR="001546B0" w:rsidRPr="0019750D">
        <w:rPr>
          <w:rFonts w:ascii="Times New Roman" w:eastAsia="Times New Roman" w:hAnsi="Times New Roman" w:cs="Times New Roman"/>
          <w:color w:val="000000"/>
          <w:sz w:val="20"/>
          <w:szCs w:val="20"/>
        </w:rPr>
        <w:t xml:space="preserve">Note that </w:t>
      </w:r>
      <w:r w:rsidR="00502D4F">
        <w:rPr>
          <w:rFonts w:ascii="Times New Roman" w:eastAsia="Times New Roman" w:hAnsi="Times New Roman" w:cs="Times New Roman"/>
          <w:color w:val="000000"/>
          <w:sz w:val="20"/>
          <w:szCs w:val="20"/>
        </w:rPr>
        <w:t xml:space="preserve">a </w:t>
      </w:r>
      <w:r w:rsidR="008C0C9F">
        <w:rPr>
          <w:rFonts w:ascii="Times New Roman" w:eastAsia="Times New Roman" w:hAnsi="Times New Roman" w:cs="Times New Roman"/>
          <w:color w:val="000000"/>
          <w:sz w:val="20"/>
          <w:szCs w:val="20"/>
        </w:rPr>
        <w:t>negative balance means there</w:t>
      </w:r>
      <w:r w:rsidR="001546B0" w:rsidRPr="0019750D">
        <w:rPr>
          <w:rFonts w:ascii="Times New Roman" w:eastAsia="Times New Roman" w:hAnsi="Times New Roman" w:cs="Times New Roman"/>
          <w:color w:val="000000"/>
          <w:sz w:val="20"/>
          <w:szCs w:val="20"/>
        </w:rPr>
        <w:t xml:space="preserve"> is a net asset rather than </w:t>
      </w:r>
      <w:r w:rsidR="00B979FB">
        <w:rPr>
          <w:rFonts w:ascii="Times New Roman" w:eastAsia="Times New Roman" w:hAnsi="Times New Roman" w:cs="Times New Roman"/>
          <w:color w:val="000000"/>
          <w:sz w:val="20"/>
          <w:szCs w:val="20"/>
        </w:rPr>
        <w:t xml:space="preserve">an </w:t>
      </w:r>
      <w:r w:rsidR="001546B0" w:rsidRPr="0019750D">
        <w:rPr>
          <w:rFonts w:ascii="Times New Roman" w:eastAsia="Times New Roman" w:hAnsi="Times New Roman" w:cs="Times New Roman"/>
          <w:color w:val="000000"/>
          <w:sz w:val="20"/>
          <w:szCs w:val="20"/>
        </w:rPr>
        <w:t>obligation. For Oakland County</w:t>
      </w:r>
      <w:r w:rsidR="0055130F" w:rsidRPr="0019750D">
        <w:rPr>
          <w:rFonts w:ascii="Times New Roman" w:eastAsia="Times New Roman" w:hAnsi="Times New Roman" w:cs="Times New Roman"/>
          <w:color w:val="000000"/>
          <w:sz w:val="20"/>
          <w:szCs w:val="20"/>
        </w:rPr>
        <w:t xml:space="preserve"> (note earlier years’ OPEB balances are not available), b</w:t>
      </w:r>
      <w:r w:rsidR="001546B0" w:rsidRPr="0019750D">
        <w:rPr>
          <w:rFonts w:ascii="Times New Roman" w:eastAsia="Times New Roman" w:hAnsi="Times New Roman" w:cs="Times New Roman"/>
          <w:color w:val="000000"/>
          <w:sz w:val="20"/>
          <w:szCs w:val="20"/>
        </w:rPr>
        <w:t xml:space="preserve">eginning in 2010, the Interim Retiree Health Care trust is treated as a trust fund, and included in OPEB Plan Assets. Oakland has </w:t>
      </w:r>
      <w:r w:rsidR="00AA5C83">
        <w:rPr>
          <w:rFonts w:ascii="Times New Roman" w:eastAsia="Times New Roman" w:hAnsi="Times New Roman" w:cs="Times New Roman"/>
          <w:color w:val="000000"/>
          <w:sz w:val="20"/>
          <w:szCs w:val="20"/>
        </w:rPr>
        <w:t>0% contribution because it over</w:t>
      </w:r>
      <w:r w:rsidR="001546B0" w:rsidRPr="0019750D">
        <w:rPr>
          <w:rFonts w:ascii="Times New Roman" w:eastAsia="Times New Roman" w:hAnsi="Times New Roman" w:cs="Times New Roman"/>
          <w:color w:val="000000"/>
          <w:sz w:val="20"/>
          <w:szCs w:val="20"/>
        </w:rPr>
        <w:t>funds</w:t>
      </w:r>
      <w:r w:rsidR="00AA5C83">
        <w:rPr>
          <w:rFonts w:ascii="Times New Roman" w:eastAsia="Times New Roman" w:hAnsi="Times New Roman" w:cs="Times New Roman"/>
          <w:color w:val="000000"/>
          <w:sz w:val="20"/>
          <w:szCs w:val="20"/>
        </w:rPr>
        <w:t xml:space="preserve"> its</w:t>
      </w:r>
      <w:r w:rsidR="001546B0" w:rsidRPr="0019750D">
        <w:rPr>
          <w:rFonts w:ascii="Times New Roman" w:eastAsia="Times New Roman" w:hAnsi="Times New Roman" w:cs="Times New Roman"/>
          <w:color w:val="000000"/>
          <w:sz w:val="20"/>
          <w:szCs w:val="20"/>
        </w:rPr>
        <w:t xml:space="preserve"> OPEB cost. Even with a net asset, Oakland’s </w:t>
      </w:r>
      <w:r w:rsidR="008C0C9F">
        <w:rPr>
          <w:rFonts w:ascii="Times New Roman" w:eastAsia="Times New Roman" w:hAnsi="Times New Roman" w:cs="Times New Roman"/>
          <w:color w:val="000000"/>
          <w:sz w:val="20"/>
          <w:szCs w:val="20"/>
        </w:rPr>
        <w:t>asset balance</w:t>
      </w:r>
      <w:r w:rsidR="001546B0" w:rsidRPr="0019750D">
        <w:rPr>
          <w:rFonts w:ascii="Times New Roman" w:eastAsia="Times New Roman" w:hAnsi="Times New Roman" w:cs="Times New Roman"/>
          <w:color w:val="000000"/>
          <w:sz w:val="20"/>
          <w:szCs w:val="20"/>
        </w:rPr>
        <w:t xml:space="preserve"> is decreasing over the years. </w:t>
      </w:r>
      <w:r w:rsidR="00F9545B">
        <w:rPr>
          <w:rFonts w:ascii="Times New Roman" w:eastAsia="Times New Roman" w:hAnsi="Times New Roman" w:cs="Times New Roman"/>
          <w:color w:val="000000"/>
          <w:sz w:val="20"/>
          <w:szCs w:val="20"/>
        </w:rPr>
        <w:t xml:space="preserve">One exception is Gwinnett because it </w:t>
      </w:r>
      <w:r w:rsidR="0055130F" w:rsidRPr="0019750D">
        <w:rPr>
          <w:rFonts w:ascii="Times New Roman" w:eastAsia="Times New Roman" w:hAnsi="Times New Roman" w:cs="Times New Roman"/>
          <w:color w:val="000000"/>
          <w:sz w:val="20"/>
          <w:szCs w:val="20"/>
        </w:rPr>
        <w:t xml:space="preserve">prefunds </w:t>
      </w:r>
      <w:r w:rsidR="00AA5C83">
        <w:rPr>
          <w:rFonts w:ascii="Times New Roman" w:eastAsia="Times New Roman" w:hAnsi="Times New Roman" w:cs="Times New Roman"/>
          <w:color w:val="000000"/>
          <w:sz w:val="20"/>
          <w:szCs w:val="20"/>
        </w:rPr>
        <w:t xml:space="preserve">its </w:t>
      </w:r>
      <w:r w:rsidR="0055130F" w:rsidRPr="0019750D">
        <w:rPr>
          <w:rFonts w:ascii="Times New Roman" w:eastAsia="Times New Roman" w:hAnsi="Times New Roman" w:cs="Times New Roman"/>
          <w:color w:val="000000"/>
          <w:sz w:val="20"/>
          <w:szCs w:val="20"/>
        </w:rPr>
        <w:t xml:space="preserve">OPEB. It is showing a trend of </w:t>
      </w:r>
      <w:r w:rsidR="00F9545B">
        <w:rPr>
          <w:rFonts w:ascii="Times New Roman" w:eastAsia="Times New Roman" w:hAnsi="Times New Roman" w:cs="Times New Roman"/>
          <w:color w:val="000000"/>
          <w:sz w:val="20"/>
          <w:szCs w:val="20"/>
        </w:rPr>
        <w:t xml:space="preserve">an </w:t>
      </w:r>
      <w:r w:rsidR="0055130F" w:rsidRPr="0019750D">
        <w:rPr>
          <w:rFonts w:ascii="Times New Roman" w:eastAsia="Times New Roman" w:hAnsi="Times New Roman" w:cs="Times New Roman"/>
          <w:color w:val="000000"/>
          <w:sz w:val="20"/>
          <w:szCs w:val="20"/>
        </w:rPr>
        <w:t xml:space="preserve">increasing net asset. </w:t>
      </w:r>
    </w:p>
    <w:p w:rsidR="009915B4" w:rsidRPr="0019750D" w:rsidRDefault="009915B4" w:rsidP="009915B4">
      <w:pPr>
        <w:spacing w:after="0" w:line="240" w:lineRule="auto"/>
        <w:ind w:firstLine="720"/>
        <w:jc w:val="both"/>
        <w:rPr>
          <w:rFonts w:ascii="Times New Roman" w:eastAsia="Times New Roman" w:hAnsi="Times New Roman" w:cs="Times New Roman"/>
          <w:color w:val="000000"/>
          <w:sz w:val="20"/>
          <w:szCs w:val="20"/>
        </w:rPr>
      </w:pPr>
    </w:p>
    <w:p w:rsidR="00E44BAA" w:rsidRDefault="00A30A13" w:rsidP="009915B4">
      <w:pPr>
        <w:spacing w:after="0" w:line="240" w:lineRule="auto"/>
        <w:ind w:firstLine="720"/>
        <w:jc w:val="both"/>
        <w:rPr>
          <w:rFonts w:ascii="Times New Roman" w:eastAsia="Times New Roman" w:hAnsi="Times New Roman" w:cs="Times New Roman"/>
          <w:color w:val="000000"/>
          <w:sz w:val="20"/>
          <w:szCs w:val="20"/>
        </w:rPr>
      </w:pPr>
      <w:r w:rsidRPr="0019750D">
        <w:rPr>
          <w:rFonts w:ascii="Times New Roman" w:eastAsia="Times New Roman" w:hAnsi="Times New Roman" w:cs="Times New Roman"/>
          <w:color w:val="000000"/>
          <w:sz w:val="20"/>
          <w:szCs w:val="20"/>
        </w:rPr>
        <w:t>The Employer</w:t>
      </w:r>
      <w:r w:rsidR="001546B0" w:rsidRPr="0019750D">
        <w:rPr>
          <w:rFonts w:ascii="Times New Roman" w:eastAsia="Times New Roman" w:hAnsi="Times New Roman" w:cs="Times New Roman"/>
          <w:color w:val="000000"/>
          <w:sz w:val="20"/>
          <w:szCs w:val="20"/>
        </w:rPr>
        <w:t xml:space="preserve"> </w:t>
      </w:r>
      <w:r w:rsidR="00E44BAA" w:rsidRPr="0019750D">
        <w:rPr>
          <w:rFonts w:ascii="Times New Roman" w:eastAsia="Times New Roman" w:hAnsi="Times New Roman" w:cs="Times New Roman"/>
          <w:color w:val="000000"/>
          <w:sz w:val="20"/>
          <w:szCs w:val="20"/>
        </w:rPr>
        <w:t>E</w:t>
      </w:r>
      <w:r w:rsidR="001546B0" w:rsidRPr="0019750D">
        <w:rPr>
          <w:rFonts w:ascii="Times New Roman" w:eastAsia="Times New Roman" w:hAnsi="Times New Roman" w:cs="Times New Roman"/>
          <w:color w:val="000000"/>
          <w:sz w:val="20"/>
          <w:szCs w:val="20"/>
        </w:rPr>
        <w:t xml:space="preserve">xposure </w:t>
      </w:r>
      <w:r w:rsidR="00E44BAA" w:rsidRPr="0019750D">
        <w:rPr>
          <w:rFonts w:ascii="Times New Roman" w:eastAsia="Times New Roman" w:hAnsi="Times New Roman" w:cs="Times New Roman"/>
          <w:color w:val="000000"/>
          <w:sz w:val="20"/>
          <w:szCs w:val="20"/>
        </w:rPr>
        <w:t>D</w:t>
      </w:r>
      <w:r w:rsidRPr="0019750D">
        <w:rPr>
          <w:rFonts w:ascii="Times New Roman" w:eastAsia="Times New Roman" w:hAnsi="Times New Roman" w:cs="Times New Roman"/>
          <w:color w:val="000000"/>
          <w:sz w:val="20"/>
          <w:szCs w:val="20"/>
        </w:rPr>
        <w:t>raft requires essentially all UAAL be reported on the balance sheet</w:t>
      </w:r>
      <w:r w:rsidR="001546B0" w:rsidRPr="0019750D">
        <w:rPr>
          <w:rFonts w:ascii="Times New Roman" w:eastAsia="Times New Roman" w:hAnsi="Times New Roman" w:cs="Times New Roman"/>
          <w:color w:val="000000"/>
          <w:sz w:val="20"/>
          <w:szCs w:val="20"/>
        </w:rPr>
        <w:t xml:space="preserve">. </w:t>
      </w:r>
      <w:r w:rsidRPr="0019750D">
        <w:rPr>
          <w:rFonts w:ascii="Times New Roman" w:eastAsia="Times New Roman" w:hAnsi="Times New Roman" w:cs="Times New Roman"/>
          <w:color w:val="000000"/>
          <w:sz w:val="20"/>
          <w:szCs w:val="20"/>
        </w:rPr>
        <w:t xml:space="preserve">As our next table shows, the UAAL is a much larger number compared to the current </w:t>
      </w:r>
      <w:r w:rsidR="00B979FB">
        <w:rPr>
          <w:rFonts w:ascii="Times New Roman" w:eastAsia="Times New Roman" w:hAnsi="Times New Roman" w:cs="Times New Roman"/>
          <w:color w:val="000000"/>
          <w:sz w:val="20"/>
          <w:szCs w:val="20"/>
        </w:rPr>
        <w:t>incremental net OPEB obligations.</w:t>
      </w:r>
      <w:r w:rsidRPr="0019750D">
        <w:rPr>
          <w:rFonts w:ascii="Times New Roman" w:eastAsia="Times New Roman" w:hAnsi="Times New Roman" w:cs="Times New Roman"/>
          <w:color w:val="000000"/>
          <w:sz w:val="20"/>
          <w:szCs w:val="20"/>
        </w:rPr>
        <w:t xml:space="preserve"> </w:t>
      </w:r>
      <w:r w:rsidR="001546B0" w:rsidRPr="0019750D">
        <w:rPr>
          <w:rFonts w:ascii="Times New Roman" w:eastAsia="Times New Roman" w:hAnsi="Times New Roman" w:cs="Times New Roman"/>
          <w:color w:val="000000"/>
          <w:sz w:val="20"/>
          <w:szCs w:val="20"/>
        </w:rPr>
        <w:t xml:space="preserve">It will be interesting to see the differences in </w:t>
      </w:r>
      <w:r w:rsidR="008C0C9F">
        <w:rPr>
          <w:rFonts w:ascii="Times New Roman" w:eastAsia="Times New Roman" w:hAnsi="Times New Roman" w:cs="Times New Roman"/>
          <w:color w:val="000000"/>
          <w:sz w:val="20"/>
          <w:szCs w:val="20"/>
        </w:rPr>
        <w:t xml:space="preserve">the </w:t>
      </w:r>
      <w:r w:rsidR="001546B0" w:rsidRPr="0019750D">
        <w:rPr>
          <w:rFonts w:ascii="Times New Roman" w:eastAsia="Times New Roman" w:hAnsi="Times New Roman" w:cs="Times New Roman"/>
          <w:color w:val="000000"/>
          <w:sz w:val="20"/>
          <w:szCs w:val="20"/>
        </w:rPr>
        <w:t xml:space="preserve">amount between the current </w:t>
      </w:r>
      <w:r w:rsidR="00502D4F">
        <w:rPr>
          <w:rFonts w:ascii="Times New Roman" w:eastAsia="Times New Roman" w:hAnsi="Times New Roman" w:cs="Times New Roman"/>
          <w:color w:val="000000"/>
          <w:sz w:val="20"/>
          <w:szCs w:val="20"/>
        </w:rPr>
        <w:t>OPEB obligation and the new</w:t>
      </w:r>
      <w:r w:rsidR="001546B0" w:rsidRPr="0019750D">
        <w:rPr>
          <w:rFonts w:ascii="Times New Roman" w:eastAsia="Times New Roman" w:hAnsi="Times New Roman" w:cs="Times New Roman"/>
          <w:color w:val="000000"/>
          <w:sz w:val="20"/>
          <w:szCs w:val="20"/>
        </w:rPr>
        <w:t xml:space="preserve"> OPEB</w:t>
      </w:r>
      <w:r w:rsidR="008C0C9F">
        <w:rPr>
          <w:rFonts w:ascii="Times New Roman" w:eastAsia="Times New Roman" w:hAnsi="Times New Roman" w:cs="Times New Roman"/>
          <w:color w:val="000000"/>
          <w:sz w:val="20"/>
          <w:szCs w:val="20"/>
        </w:rPr>
        <w:t xml:space="preserve"> l</w:t>
      </w:r>
      <w:r w:rsidR="00202629">
        <w:rPr>
          <w:rFonts w:ascii="Times New Roman" w:eastAsia="Times New Roman" w:hAnsi="Times New Roman" w:cs="Times New Roman"/>
          <w:color w:val="000000"/>
          <w:sz w:val="20"/>
          <w:szCs w:val="20"/>
        </w:rPr>
        <w:t>iabilities</w:t>
      </w:r>
      <w:r w:rsidR="00AA5C83">
        <w:rPr>
          <w:rFonts w:ascii="Times New Roman" w:eastAsia="Times New Roman" w:hAnsi="Times New Roman" w:cs="Times New Roman"/>
          <w:color w:val="000000"/>
          <w:sz w:val="20"/>
          <w:szCs w:val="20"/>
        </w:rPr>
        <w:t xml:space="preserve"> to be reported on future</w:t>
      </w:r>
      <w:r w:rsidR="001546B0" w:rsidRPr="0019750D">
        <w:rPr>
          <w:rFonts w:ascii="Times New Roman" w:eastAsia="Times New Roman" w:hAnsi="Times New Roman" w:cs="Times New Roman"/>
          <w:color w:val="000000"/>
          <w:sz w:val="20"/>
          <w:szCs w:val="20"/>
        </w:rPr>
        <w:t xml:space="preserve"> financial statements. </w:t>
      </w:r>
    </w:p>
    <w:p w:rsidR="009915B4" w:rsidRPr="0019750D" w:rsidRDefault="009915B4" w:rsidP="009915B4">
      <w:pPr>
        <w:spacing w:after="0" w:line="240" w:lineRule="auto"/>
        <w:ind w:firstLine="720"/>
        <w:jc w:val="both"/>
        <w:rPr>
          <w:rFonts w:ascii="Times New Roman" w:eastAsia="Times New Roman" w:hAnsi="Times New Roman" w:cs="Times New Roman"/>
          <w:color w:val="000000"/>
          <w:sz w:val="20"/>
          <w:szCs w:val="20"/>
        </w:rPr>
      </w:pPr>
    </w:p>
    <w:p w:rsidR="001546B0" w:rsidRDefault="00E44BAA" w:rsidP="009915B4">
      <w:pPr>
        <w:spacing w:after="0" w:line="240" w:lineRule="auto"/>
        <w:ind w:firstLine="720"/>
        <w:jc w:val="both"/>
        <w:rPr>
          <w:rFonts w:ascii="Times New Roman" w:eastAsia="Times New Roman" w:hAnsi="Times New Roman" w:cs="Times New Roman"/>
          <w:color w:val="000000"/>
          <w:sz w:val="20"/>
          <w:szCs w:val="20"/>
        </w:rPr>
      </w:pPr>
      <w:r w:rsidRPr="0019750D">
        <w:rPr>
          <w:rFonts w:ascii="Times New Roman" w:eastAsia="Times New Roman" w:hAnsi="Times New Roman" w:cs="Times New Roman"/>
          <w:color w:val="000000"/>
          <w:sz w:val="20"/>
          <w:szCs w:val="20"/>
        </w:rPr>
        <w:t>There</w:t>
      </w:r>
      <w:r w:rsidR="007F16BF" w:rsidRPr="0019750D">
        <w:rPr>
          <w:rFonts w:ascii="Times New Roman" w:eastAsia="Times New Roman" w:hAnsi="Times New Roman" w:cs="Times New Roman"/>
          <w:color w:val="000000"/>
          <w:sz w:val="20"/>
          <w:szCs w:val="20"/>
        </w:rPr>
        <w:t xml:space="preserve"> </w:t>
      </w:r>
      <w:r w:rsidRPr="0019750D">
        <w:rPr>
          <w:rFonts w:ascii="Times New Roman" w:eastAsia="Times New Roman" w:hAnsi="Times New Roman" w:cs="Times New Roman"/>
          <w:color w:val="000000"/>
          <w:sz w:val="20"/>
          <w:szCs w:val="20"/>
        </w:rPr>
        <w:t xml:space="preserve">is no pattern in the percentage of AOC contributed, ranging from 18% to over 178%. Within the same county, there is also variation in percentages contributed. </w:t>
      </w:r>
      <w:r w:rsidR="00F9545B">
        <w:rPr>
          <w:rFonts w:ascii="Times New Roman" w:eastAsia="Times New Roman" w:hAnsi="Times New Roman" w:cs="Times New Roman"/>
          <w:color w:val="000000"/>
          <w:sz w:val="20"/>
          <w:szCs w:val="20"/>
        </w:rPr>
        <w:t>Since the Employer Exposure Draft</w:t>
      </w:r>
      <w:r w:rsidR="00A30A13" w:rsidRPr="0019750D">
        <w:rPr>
          <w:rFonts w:ascii="Times New Roman" w:eastAsia="Times New Roman" w:hAnsi="Times New Roman" w:cs="Times New Roman"/>
          <w:color w:val="000000"/>
          <w:sz w:val="20"/>
          <w:szCs w:val="20"/>
        </w:rPr>
        <w:t xml:space="preserve"> separates fun</w:t>
      </w:r>
      <w:r w:rsidR="00502D4F">
        <w:rPr>
          <w:rFonts w:ascii="Times New Roman" w:eastAsia="Times New Roman" w:hAnsi="Times New Roman" w:cs="Times New Roman"/>
          <w:color w:val="000000"/>
          <w:sz w:val="20"/>
          <w:szCs w:val="20"/>
        </w:rPr>
        <w:t>ding from accounting and removes</w:t>
      </w:r>
      <w:r w:rsidR="00A30A13" w:rsidRPr="0019750D">
        <w:rPr>
          <w:rFonts w:ascii="Times New Roman" w:eastAsia="Times New Roman" w:hAnsi="Times New Roman" w:cs="Times New Roman"/>
          <w:color w:val="000000"/>
          <w:sz w:val="20"/>
          <w:szCs w:val="20"/>
        </w:rPr>
        <w:t xml:space="preserve"> ARC, such percentages may not be reported any</w:t>
      </w:r>
      <w:r w:rsidR="00F9545B">
        <w:rPr>
          <w:rFonts w:ascii="Times New Roman" w:eastAsia="Times New Roman" w:hAnsi="Times New Roman" w:cs="Times New Roman"/>
          <w:color w:val="000000"/>
          <w:sz w:val="20"/>
          <w:szCs w:val="20"/>
        </w:rPr>
        <w:t>more, but variation</w:t>
      </w:r>
      <w:r w:rsidR="00202629">
        <w:rPr>
          <w:rFonts w:ascii="Times New Roman" w:eastAsia="Times New Roman" w:hAnsi="Times New Roman" w:cs="Times New Roman"/>
          <w:color w:val="000000"/>
          <w:sz w:val="20"/>
          <w:szCs w:val="20"/>
        </w:rPr>
        <w:t>s</w:t>
      </w:r>
      <w:r w:rsidR="00F9545B">
        <w:rPr>
          <w:rFonts w:ascii="Times New Roman" w:eastAsia="Times New Roman" w:hAnsi="Times New Roman" w:cs="Times New Roman"/>
          <w:color w:val="000000"/>
          <w:sz w:val="20"/>
          <w:szCs w:val="20"/>
        </w:rPr>
        <w:t xml:space="preserve"> in funding percentage</w:t>
      </w:r>
      <w:r w:rsidR="00202629">
        <w:rPr>
          <w:rFonts w:ascii="Times New Roman" w:eastAsia="Times New Roman" w:hAnsi="Times New Roman" w:cs="Times New Roman"/>
          <w:color w:val="000000"/>
          <w:sz w:val="20"/>
          <w:szCs w:val="20"/>
        </w:rPr>
        <w:t>s shed</w:t>
      </w:r>
      <w:r w:rsidR="00A30A13" w:rsidRPr="0019750D">
        <w:rPr>
          <w:rFonts w:ascii="Times New Roman" w:eastAsia="Times New Roman" w:hAnsi="Times New Roman" w:cs="Times New Roman"/>
          <w:color w:val="000000"/>
          <w:sz w:val="20"/>
          <w:szCs w:val="20"/>
        </w:rPr>
        <w:t xml:space="preserve"> light on what governments are doing to meet </w:t>
      </w:r>
      <w:r w:rsidR="00AA5C83">
        <w:rPr>
          <w:rFonts w:ascii="Times New Roman" w:eastAsia="Times New Roman" w:hAnsi="Times New Roman" w:cs="Times New Roman"/>
          <w:color w:val="000000"/>
          <w:sz w:val="20"/>
          <w:szCs w:val="20"/>
        </w:rPr>
        <w:t xml:space="preserve">their </w:t>
      </w:r>
      <w:r w:rsidR="00A30A13" w:rsidRPr="0019750D">
        <w:rPr>
          <w:rFonts w:ascii="Times New Roman" w:eastAsia="Times New Roman" w:hAnsi="Times New Roman" w:cs="Times New Roman"/>
          <w:color w:val="000000"/>
          <w:sz w:val="20"/>
          <w:szCs w:val="20"/>
        </w:rPr>
        <w:t xml:space="preserve">funding and </w:t>
      </w:r>
      <w:r w:rsidR="00AA5C83">
        <w:rPr>
          <w:rFonts w:ascii="Times New Roman" w:eastAsia="Times New Roman" w:hAnsi="Times New Roman" w:cs="Times New Roman"/>
          <w:color w:val="000000"/>
          <w:sz w:val="20"/>
          <w:szCs w:val="20"/>
        </w:rPr>
        <w:t>financial reporting requirements.</w:t>
      </w:r>
    </w:p>
    <w:p w:rsidR="009915B4" w:rsidRPr="0019750D" w:rsidRDefault="009915B4" w:rsidP="009915B4">
      <w:pPr>
        <w:spacing w:after="0" w:line="240" w:lineRule="auto"/>
        <w:ind w:firstLine="720"/>
        <w:jc w:val="both"/>
        <w:rPr>
          <w:rFonts w:ascii="Times New Roman" w:eastAsia="Times New Roman" w:hAnsi="Times New Roman" w:cs="Times New Roman"/>
          <w:color w:val="000000"/>
          <w:sz w:val="20"/>
          <w:szCs w:val="20"/>
        </w:rPr>
      </w:pPr>
    </w:p>
    <w:p w:rsidR="00E44BAA" w:rsidRPr="0019750D" w:rsidRDefault="00E44BAA" w:rsidP="009915B4">
      <w:pPr>
        <w:spacing w:after="0" w:line="240" w:lineRule="auto"/>
        <w:ind w:firstLine="720"/>
        <w:jc w:val="both"/>
        <w:rPr>
          <w:rFonts w:ascii="Times New Roman" w:eastAsia="Times New Roman" w:hAnsi="Times New Roman" w:cs="Times New Roman"/>
          <w:color w:val="000000"/>
          <w:sz w:val="20"/>
          <w:szCs w:val="20"/>
        </w:rPr>
      </w:pPr>
      <w:r w:rsidRPr="0019750D">
        <w:rPr>
          <w:rFonts w:ascii="Times New Roman" w:eastAsia="Times New Roman" w:hAnsi="Times New Roman" w:cs="Times New Roman"/>
          <w:color w:val="000000"/>
          <w:sz w:val="20"/>
          <w:szCs w:val="20"/>
        </w:rPr>
        <w:t xml:space="preserve">Discount rates used by counties vary significantly, from 3.5% to 8%, confirming </w:t>
      </w:r>
      <w:r w:rsidR="00AA5C83">
        <w:rPr>
          <w:rFonts w:ascii="Times New Roman" w:eastAsia="Times New Roman" w:hAnsi="Times New Roman" w:cs="Times New Roman"/>
          <w:color w:val="000000"/>
          <w:sz w:val="20"/>
          <w:szCs w:val="20"/>
        </w:rPr>
        <w:t xml:space="preserve">concerns </w:t>
      </w:r>
      <w:r w:rsidRPr="0019750D">
        <w:rPr>
          <w:rFonts w:ascii="Times New Roman" w:eastAsia="Times New Roman" w:hAnsi="Times New Roman" w:cs="Times New Roman"/>
          <w:color w:val="000000"/>
          <w:sz w:val="20"/>
          <w:szCs w:val="20"/>
        </w:rPr>
        <w:t>that</w:t>
      </w:r>
      <w:r w:rsidR="008C0C9F">
        <w:rPr>
          <w:rFonts w:ascii="Times New Roman" w:eastAsia="Times New Roman" w:hAnsi="Times New Roman" w:cs="Times New Roman"/>
          <w:color w:val="000000"/>
          <w:sz w:val="20"/>
          <w:szCs w:val="20"/>
        </w:rPr>
        <w:t xml:space="preserve"> the </w:t>
      </w:r>
      <w:r w:rsidRPr="0019750D">
        <w:rPr>
          <w:rFonts w:ascii="Times New Roman" w:eastAsia="Times New Roman" w:hAnsi="Times New Roman" w:cs="Times New Roman"/>
          <w:color w:val="000000"/>
          <w:sz w:val="20"/>
          <w:szCs w:val="20"/>
        </w:rPr>
        <w:t xml:space="preserve">variation in </w:t>
      </w:r>
      <w:r w:rsidR="008C0C9F">
        <w:rPr>
          <w:rFonts w:ascii="Times New Roman" w:eastAsia="Times New Roman" w:hAnsi="Times New Roman" w:cs="Times New Roman"/>
          <w:color w:val="000000"/>
          <w:sz w:val="20"/>
          <w:szCs w:val="20"/>
        </w:rPr>
        <w:t>discount rates makes r</w:t>
      </w:r>
      <w:r w:rsidRPr="0019750D">
        <w:rPr>
          <w:rFonts w:ascii="Times New Roman" w:eastAsia="Times New Roman" w:hAnsi="Times New Roman" w:cs="Times New Roman"/>
          <w:color w:val="000000"/>
          <w:sz w:val="20"/>
          <w:szCs w:val="20"/>
        </w:rPr>
        <w:t>eporting u</w:t>
      </w:r>
      <w:r w:rsidR="00202629">
        <w:rPr>
          <w:rFonts w:ascii="Times New Roman" w:eastAsia="Times New Roman" w:hAnsi="Times New Roman" w:cs="Times New Roman"/>
          <w:color w:val="000000"/>
          <w:sz w:val="20"/>
          <w:szCs w:val="20"/>
        </w:rPr>
        <w:t>nreliable. The Exposure Drafts</w:t>
      </w:r>
      <w:r w:rsidRPr="0019750D">
        <w:rPr>
          <w:rFonts w:ascii="Times New Roman" w:eastAsia="Times New Roman" w:hAnsi="Times New Roman" w:cs="Times New Roman"/>
          <w:color w:val="000000"/>
          <w:sz w:val="20"/>
          <w:szCs w:val="20"/>
        </w:rPr>
        <w:t xml:space="preserve"> address </w:t>
      </w:r>
      <w:r w:rsidR="00AA5C83">
        <w:rPr>
          <w:rFonts w:ascii="Times New Roman" w:eastAsia="Times New Roman" w:hAnsi="Times New Roman" w:cs="Times New Roman"/>
          <w:color w:val="000000"/>
          <w:sz w:val="20"/>
          <w:szCs w:val="20"/>
        </w:rPr>
        <w:t>this issue when they reduce the</w:t>
      </w:r>
      <w:r w:rsidRPr="0019750D">
        <w:rPr>
          <w:rFonts w:ascii="Times New Roman" w:eastAsia="Times New Roman" w:hAnsi="Times New Roman" w:cs="Times New Roman"/>
          <w:color w:val="000000"/>
          <w:sz w:val="20"/>
          <w:szCs w:val="20"/>
        </w:rPr>
        <w:t xml:space="preserve"> variation in the discount rates us</w:t>
      </w:r>
      <w:r w:rsidR="00A30A13" w:rsidRPr="0019750D">
        <w:rPr>
          <w:rFonts w:ascii="Times New Roman" w:eastAsia="Times New Roman" w:hAnsi="Times New Roman" w:cs="Times New Roman"/>
          <w:color w:val="000000"/>
          <w:sz w:val="20"/>
          <w:szCs w:val="20"/>
        </w:rPr>
        <w:t>ed. Rate</w:t>
      </w:r>
      <w:r w:rsidR="00F9545B">
        <w:rPr>
          <w:rFonts w:ascii="Times New Roman" w:eastAsia="Times New Roman" w:hAnsi="Times New Roman" w:cs="Times New Roman"/>
          <w:color w:val="000000"/>
          <w:sz w:val="20"/>
          <w:szCs w:val="20"/>
        </w:rPr>
        <w:t xml:space="preserve">s </w:t>
      </w:r>
      <w:r w:rsidR="00A30A13" w:rsidRPr="0019750D">
        <w:rPr>
          <w:rFonts w:ascii="Times New Roman" w:eastAsia="Times New Roman" w:hAnsi="Times New Roman" w:cs="Times New Roman"/>
          <w:color w:val="000000"/>
          <w:sz w:val="20"/>
          <w:szCs w:val="20"/>
        </w:rPr>
        <w:t>will be more consistently applied, making government</w:t>
      </w:r>
      <w:r w:rsidR="008C0C9F">
        <w:rPr>
          <w:rFonts w:ascii="Times New Roman" w:eastAsia="Times New Roman" w:hAnsi="Times New Roman" w:cs="Times New Roman"/>
          <w:color w:val="000000"/>
          <w:sz w:val="20"/>
          <w:szCs w:val="20"/>
        </w:rPr>
        <w:t>al</w:t>
      </w:r>
      <w:r w:rsidR="00A30A13" w:rsidRPr="0019750D">
        <w:rPr>
          <w:rFonts w:ascii="Times New Roman" w:eastAsia="Times New Roman" w:hAnsi="Times New Roman" w:cs="Times New Roman"/>
          <w:color w:val="000000"/>
          <w:sz w:val="20"/>
          <w:szCs w:val="20"/>
        </w:rPr>
        <w:t xml:space="preserve"> financial information more comparable</w:t>
      </w:r>
      <w:r w:rsidR="001546B0" w:rsidRPr="0019750D">
        <w:rPr>
          <w:rFonts w:ascii="Times New Roman" w:eastAsia="Times New Roman" w:hAnsi="Times New Roman" w:cs="Times New Roman"/>
          <w:color w:val="000000"/>
          <w:sz w:val="20"/>
          <w:szCs w:val="20"/>
        </w:rPr>
        <w:t>.</w:t>
      </w:r>
    </w:p>
    <w:p w:rsidR="00E30408" w:rsidRDefault="00E30408" w:rsidP="00E30408">
      <w:pPr>
        <w:spacing w:after="0" w:line="240" w:lineRule="auto"/>
        <w:ind w:firstLine="720"/>
        <w:jc w:val="both"/>
        <w:rPr>
          <w:rFonts w:ascii="Times New Roman" w:eastAsia="Times New Roman" w:hAnsi="Times New Roman" w:cs="Times New Roman"/>
          <w:color w:val="000000"/>
          <w:sz w:val="20"/>
          <w:szCs w:val="20"/>
        </w:rPr>
      </w:pPr>
    </w:p>
    <w:p w:rsidR="00E44BAA" w:rsidRDefault="00F9545B" w:rsidP="00E30408">
      <w:pPr>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Since the Employer Exposure Draft</w:t>
      </w:r>
      <w:r w:rsidRPr="0019750D">
        <w:rPr>
          <w:rFonts w:ascii="Times New Roman" w:eastAsia="Times New Roman" w:hAnsi="Times New Roman" w:cs="Times New Roman"/>
          <w:color w:val="000000"/>
          <w:sz w:val="20"/>
          <w:szCs w:val="20"/>
        </w:rPr>
        <w:t xml:space="preserve"> essentially requires all UAAL be recognized on the balance sheet, we report</w:t>
      </w:r>
      <w:r>
        <w:rPr>
          <w:rFonts w:ascii="Times New Roman" w:eastAsia="Times New Roman" w:hAnsi="Times New Roman" w:cs="Times New Roman"/>
          <w:color w:val="000000"/>
          <w:sz w:val="20"/>
          <w:szCs w:val="20"/>
        </w:rPr>
        <w:t>ed</w:t>
      </w:r>
      <w:r w:rsidRPr="0019750D">
        <w:rPr>
          <w:rFonts w:ascii="Times New Roman" w:eastAsia="Times New Roman" w:hAnsi="Times New Roman" w:cs="Times New Roman"/>
          <w:color w:val="000000"/>
          <w:sz w:val="20"/>
          <w:szCs w:val="20"/>
        </w:rPr>
        <w:t xml:space="preserve"> the current amount of UAAL from accessing the Required Supplemental Information (RSI)</w:t>
      </w:r>
      <w:r>
        <w:rPr>
          <w:rFonts w:ascii="Times New Roman" w:eastAsia="Times New Roman" w:hAnsi="Times New Roman" w:cs="Times New Roman"/>
          <w:color w:val="000000"/>
          <w:sz w:val="20"/>
          <w:szCs w:val="20"/>
        </w:rPr>
        <w:t>.</w:t>
      </w:r>
      <w:r w:rsidRPr="0019750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An </w:t>
      </w:r>
      <w:r w:rsidRPr="0019750D">
        <w:rPr>
          <w:rFonts w:ascii="Times New Roman" w:eastAsia="Times New Roman" w:hAnsi="Times New Roman" w:cs="Times New Roman"/>
          <w:color w:val="000000"/>
          <w:sz w:val="20"/>
          <w:szCs w:val="20"/>
        </w:rPr>
        <w:t>analysis of the 12 counties shows that</w:t>
      </w:r>
      <w:r>
        <w:rPr>
          <w:rFonts w:ascii="Times New Roman" w:eastAsia="Times New Roman" w:hAnsi="Times New Roman" w:cs="Times New Roman"/>
          <w:color w:val="000000"/>
          <w:sz w:val="20"/>
          <w:szCs w:val="20"/>
        </w:rPr>
        <w:t xml:space="preserve"> </w:t>
      </w:r>
      <w:r w:rsidRPr="0019750D">
        <w:rPr>
          <w:rFonts w:ascii="Times New Roman" w:eastAsia="Times New Roman" w:hAnsi="Times New Roman" w:cs="Times New Roman"/>
          <w:color w:val="000000"/>
          <w:sz w:val="20"/>
          <w:szCs w:val="20"/>
        </w:rPr>
        <w:t xml:space="preserve">none of the counties experienced a consistent increase in </w:t>
      </w:r>
      <w:r w:rsidR="00202629">
        <w:rPr>
          <w:rFonts w:ascii="Times New Roman" w:eastAsia="Times New Roman" w:hAnsi="Times New Roman" w:cs="Times New Roman"/>
          <w:color w:val="000000"/>
          <w:sz w:val="20"/>
          <w:szCs w:val="20"/>
        </w:rPr>
        <w:t>AAL and UAAL</w:t>
      </w:r>
      <w:r w:rsidRPr="0019750D">
        <w:rPr>
          <w:rFonts w:ascii="Times New Roman" w:eastAsia="Times New Roman" w:hAnsi="Times New Roman" w:cs="Times New Roman"/>
          <w:color w:val="000000"/>
          <w:sz w:val="20"/>
          <w:szCs w:val="20"/>
        </w:rPr>
        <w:t xml:space="preserve"> between the years 2006 to 2013. </w:t>
      </w:r>
      <w:r w:rsidR="00202629">
        <w:rPr>
          <w:rFonts w:ascii="Times New Roman" w:eastAsia="Times New Roman" w:hAnsi="Times New Roman" w:cs="Times New Roman"/>
          <w:color w:val="000000"/>
          <w:sz w:val="20"/>
          <w:szCs w:val="20"/>
        </w:rPr>
        <w:t xml:space="preserve">The AAL and UAAL of most </w:t>
      </w:r>
      <w:r w:rsidR="00E44BAA" w:rsidRPr="0019750D">
        <w:rPr>
          <w:rFonts w:ascii="Times New Roman" w:eastAsia="Times New Roman" w:hAnsi="Times New Roman" w:cs="Times New Roman"/>
          <w:color w:val="000000"/>
          <w:sz w:val="20"/>
          <w:szCs w:val="20"/>
        </w:rPr>
        <w:t>counties a</w:t>
      </w:r>
      <w:r w:rsidR="00AA5C83">
        <w:rPr>
          <w:rFonts w:ascii="Times New Roman" w:eastAsia="Times New Roman" w:hAnsi="Times New Roman" w:cs="Times New Roman"/>
          <w:color w:val="000000"/>
          <w:sz w:val="20"/>
          <w:szCs w:val="20"/>
        </w:rPr>
        <w:t>nalyzed were volatile</w:t>
      </w:r>
      <w:r w:rsidR="00E44BAA" w:rsidRPr="0019750D">
        <w:rPr>
          <w:rFonts w:ascii="Times New Roman" w:eastAsia="Times New Roman" w:hAnsi="Times New Roman" w:cs="Times New Roman"/>
          <w:color w:val="000000"/>
          <w:sz w:val="20"/>
          <w:szCs w:val="20"/>
        </w:rPr>
        <w:t xml:space="preserve"> with no visible consistent pattern. </w:t>
      </w:r>
    </w:p>
    <w:p w:rsidR="00E30408" w:rsidRPr="0019750D" w:rsidRDefault="00E30408" w:rsidP="00E30408">
      <w:pPr>
        <w:spacing w:after="0" w:line="240" w:lineRule="auto"/>
        <w:ind w:firstLine="720"/>
        <w:jc w:val="both"/>
        <w:rPr>
          <w:rFonts w:ascii="Times New Roman" w:eastAsia="Times New Roman" w:hAnsi="Times New Roman" w:cs="Times New Roman"/>
          <w:color w:val="000000"/>
          <w:sz w:val="20"/>
          <w:szCs w:val="20"/>
        </w:rPr>
      </w:pPr>
    </w:p>
    <w:p w:rsidR="00E44BAA" w:rsidRDefault="00E44BAA" w:rsidP="00E30408">
      <w:pPr>
        <w:spacing w:after="0" w:line="240" w:lineRule="auto"/>
        <w:ind w:firstLine="720"/>
        <w:jc w:val="both"/>
        <w:rPr>
          <w:rFonts w:ascii="Times New Roman" w:eastAsia="Times New Roman" w:hAnsi="Times New Roman" w:cs="Times New Roman"/>
          <w:color w:val="000000"/>
          <w:sz w:val="20"/>
          <w:szCs w:val="20"/>
        </w:rPr>
      </w:pPr>
      <w:r w:rsidRPr="0019750D">
        <w:rPr>
          <w:rFonts w:ascii="Times New Roman" w:eastAsia="Times New Roman" w:hAnsi="Times New Roman" w:cs="Times New Roman"/>
          <w:color w:val="000000"/>
          <w:sz w:val="20"/>
          <w:szCs w:val="20"/>
        </w:rPr>
        <w:lastRenderedPageBreak/>
        <w:t>Of particular interest is the variation in funded ratio, from 0% to 118%.</w:t>
      </w:r>
      <w:r w:rsidR="00AE0738">
        <w:rPr>
          <w:rFonts w:ascii="Times New Roman" w:eastAsia="Times New Roman" w:hAnsi="Times New Roman" w:cs="Times New Roman"/>
          <w:color w:val="000000"/>
          <w:sz w:val="20"/>
          <w:szCs w:val="20"/>
        </w:rPr>
        <w:t xml:space="preserve"> </w:t>
      </w:r>
      <w:r w:rsidRPr="0019750D">
        <w:rPr>
          <w:rFonts w:ascii="Times New Roman" w:eastAsia="Times New Roman" w:hAnsi="Times New Roman" w:cs="Times New Roman"/>
          <w:color w:val="000000"/>
          <w:sz w:val="20"/>
          <w:szCs w:val="20"/>
        </w:rPr>
        <w:t>As expected, overall covered payroll has been steadily increasing over the years. However, there is no discernable pattern in the UAAL as a percen</w:t>
      </w:r>
      <w:r w:rsidR="008C0C9F">
        <w:rPr>
          <w:rFonts w:ascii="Times New Roman" w:eastAsia="Times New Roman" w:hAnsi="Times New Roman" w:cs="Times New Roman"/>
          <w:color w:val="000000"/>
          <w:sz w:val="20"/>
          <w:szCs w:val="20"/>
        </w:rPr>
        <w:t xml:space="preserve">tage of covered payrolls, as it </w:t>
      </w:r>
      <w:r w:rsidR="00502D4F">
        <w:rPr>
          <w:rFonts w:ascii="Times New Roman" w:eastAsia="Times New Roman" w:hAnsi="Times New Roman" w:cs="Times New Roman"/>
          <w:color w:val="000000"/>
          <w:sz w:val="20"/>
          <w:szCs w:val="20"/>
        </w:rPr>
        <w:t>ranged</w:t>
      </w:r>
      <w:r w:rsidRPr="0019750D">
        <w:rPr>
          <w:rFonts w:ascii="Times New Roman" w:eastAsia="Times New Roman" w:hAnsi="Times New Roman" w:cs="Times New Roman"/>
          <w:color w:val="000000"/>
          <w:sz w:val="20"/>
          <w:szCs w:val="20"/>
        </w:rPr>
        <w:t xml:space="preserve"> from 18% to 200%. In Oakland, due to overfunding (negative per</w:t>
      </w:r>
      <w:r w:rsidR="00F9545B">
        <w:rPr>
          <w:rFonts w:ascii="Times New Roman" w:eastAsia="Times New Roman" w:hAnsi="Times New Roman" w:cs="Times New Roman"/>
          <w:color w:val="000000"/>
          <w:sz w:val="20"/>
          <w:szCs w:val="20"/>
        </w:rPr>
        <w:t>centage) beginning in 2010, the</w:t>
      </w:r>
      <w:r w:rsidRPr="0019750D">
        <w:rPr>
          <w:rFonts w:ascii="Times New Roman" w:eastAsia="Times New Roman" w:hAnsi="Times New Roman" w:cs="Times New Roman"/>
          <w:color w:val="000000"/>
          <w:sz w:val="20"/>
          <w:szCs w:val="20"/>
        </w:rPr>
        <w:t xml:space="preserve"> percentage ranges from 262% prior to 2010 to -100% in 2013.</w:t>
      </w:r>
    </w:p>
    <w:p w:rsidR="00E30408" w:rsidRPr="0019750D" w:rsidRDefault="00E30408" w:rsidP="00E30408">
      <w:pPr>
        <w:spacing w:after="0" w:line="240" w:lineRule="auto"/>
        <w:ind w:firstLine="720"/>
        <w:jc w:val="both"/>
        <w:rPr>
          <w:rFonts w:ascii="Times New Roman" w:eastAsia="Times New Roman" w:hAnsi="Times New Roman" w:cs="Times New Roman"/>
          <w:color w:val="000000"/>
          <w:sz w:val="20"/>
          <w:szCs w:val="20"/>
        </w:rPr>
      </w:pPr>
    </w:p>
    <w:p w:rsidR="00397394" w:rsidRDefault="00397394" w:rsidP="00E30408">
      <w:pPr>
        <w:spacing w:after="0" w:line="240" w:lineRule="auto"/>
        <w:ind w:firstLine="720"/>
        <w:jc w:val="both"/>
        <w:rPr>
          <w:rFonts w:ascii="Times New Roman" w:eastAsia="Times New Roman" w:hAnsi="Times New Roman" w:cs="Times New Roman"/>
          <w:color w:val="000000"/>
          <w:sz w:val="20"/>
          <w:szCs w:val="20"/>
        </w:rPr>
      </w:pPr>
      <w:r w:rsidRPr="0019750D">
        <w:rPr>
          <w:rFonts w:ascii="Times New Roman" w:eastAsia="Times New Roman" w:hAnsi="Times New Roman" w:cs="Times New Roman"/>
          <w:color w:val="000000"/>
          <w:sz w:val="20"/>
          <w:szCs w:val="20"/>
        </w:rPr>
        <w:t>If we compare the current OPEB obligation</w:t>
      </w:r>
      <w:r w:rsidR="00B259B7">
        <w:rPr>
          <w:rFonts w:ascii="Times New Roman" w:eastAsia="Times New Roman" w:hAnsi="Times New Roman" w:cs="Times New Roman"/>
          <w:color w:val="000000"/>
          <w:sz w:val="20"/>
          <w:szCs w:val="20"/>
        </w:rPr>
        <w:t>s</w:t>
      </w:r>
      <w:r w:rsidRPr="0019750D">
        <w:rPr>
          <w:rFonts w:ascii="Times New Roman" w:eastAsia="Times New Roman" w:hAnsi="Times New Roman" w:cs="Times New Roman"/>
          <w:color w:val="000000"/>
          <w:sz w:val="20"/>
          <w:szCs w:val="20"/>
        </w:rPr>
        <w:t xml:space="preserve"> in Table 3 with the UAAL in Table 4, we see dramatic increase</w:t>
      </w:r>
      <w:r w:rsidR="00B259B7">
        <w:rPr>
          <w:rFonts w:ascii="Times New Roman" w:eastAsia="Times New Roman" w:hAnsi="Times New Roman" w:cs="Times New Roman"/>
          <w:color w:val="000000"/>
          <w:sz w:val="20"/>
          <w:szCs w:val="20"/>
        </w:rPr>
        <w:t>s of liabilities</w:t>
      </w:r>
      <w:r w:rsidRPr="0019750D">
        <w:rPr>
          <w:rFonts w:ascii="Times New Roman" w:eastAsia="Times New Roman" w:hAnsi="Times New Roman" w:cs="Times New Roman"/>
          <w:color w:val="000000"/>
          <w:sz w:val="20"/>
          <w:szCs w:val="20"/>
        </w:rPr>
        <w:t xml:space="preserve"> if almost all UAAL are to be recognized on the balance sheet.   For example, in 2013, Mecklenburg reports </w:t>
      </w:r>
      <w:r w:rsidR="00F9545B">
        <w:rPr>
          <w:rFonts w:ascii="Times New Roman" w:eastAsia="Times New Roman" w:hAnsi="Times New Roman" w:cs="Times New Roman"/>
          <w:color w:val="000000"/>
          <w:sz w:val="20"/>
          <w:szCs w:val="20"/>
        </w:rPr>
        <w:t xml:space="preserve">its </w:t>
      </w:r>
      <w:r w:rsidRPr="0019750D">
        <w:rPr>
          <w:rFonts w:ascii="Times New Roman" w:eastAsia="Times New Roman" w:hAnsi="Times New Roman" w:cs="Times New Roman"/>
          <w:color w:val="000000"/>
          <w:sz w:val="20"/>
          <w:szCs w:val="20"/>
        </w:rPr>
        <w:t>OPEB Obligation of $82,468, 065, but if it were to report the UAAL on the balance sheet, it would have been $441,887,035.</w:t>
      </w:r>
      <w:r w:rsidR="00AE0738">
        <w:rPr>
          <w:rFonts w:ascii="Times New Roman" w:eastAsia="Times New Roman" w:hAnsi="Times New Roman" w:cs="Times New Roman"/>
          <w:color w:val="000000"/>
          <w:sz w:val="20"/>
          <w:szCs w:val="20"/>
        </w:rPr>
        <w:t xml:space="preserve"> </w:t>
      </w:r>
      <w:r w:rsidR="00AA5C83">
        <w:rPr>
          <w:rFonts w:ascii="Times New Roman" w:eastAsia="Times New Roman" w:hAnsi="Times New Roman" w:cs="Times New Roman"/>
          <w:color w:val="000000"/>
          <w:sz w:val="20"/>
          <w:szCs w:val="20"/>
        </w:rPr>
        <w:t>The average OPEB o</w:t>
      </w:r>
      <w:r w:rsidRPr="0019750D">
        <w:rPr>
          <w:rFonts w:ascii="Times New Roman" w:eastAsia="Times New Roman" w:hAnsi="Times New Roman" w:cs="Times New Roman"/>
          <w:color w:val="000000"/>
          <w:sz w:val="20"/>
          <w:szCs w:val="20"/>
        </w:rPr>
        <w:t>bligation for all counties from 2006 to 2013 is $49,500,34</w:t>
      </w:r>
      <w:r w:rsidR="00502D4F">
        <w:rPr>
          <w:rFonts w:ascii="Times New Roman" w:eastAsia="Times New Roman" w:hAnsi="Times New Roman" w:cs="Times New Roman"/>
          <w:color w:val="000000"/>
          <w:sz w:val="20"/>
          <w:szCs w:val="20"/>
        </w:rPr>
        <w:t xml:space="preserve">5, a fraction of the average </w:t>
      </w:r>
      <w:r w:rsidRPr="0019750D">
        <w:rPr>
          <w:rFonts w:ascii="Times New Roman" w:eastAsia="Times New Roman" w:hAnsi="Times New Roman" w:cs="Times New Roman"/>
          <w:color w:val="000000"/>
          <w:sz w:val="20"/>
          <w:szCs w:val="20"/>
        </w:rPr>
        <w:t>UAAL, $352,4</w:t>
      </w:r>
      <w:r w:rsidR="00F9545B">
        <w:rPr>
          <w:rFonts w:ascii="Times New Roman" w:eastAsia="Times New Roman" w:hAnsi="Times New Roman" w:cs="Times New Roman"/>
          <w:color w:val="000000"/>
          <w:sz w:val="20"/>
          <w:szCs w:val="20"/>
        </w:rPr>
        <w:t xml:space="preserve">69,500.  Importantly, </w:t>
      </w:r>
      <w:r w:rsidR="008C0C9F" w:rsidRPr="0019750D">
        <w:rPr>
          <w:rFonts w:ascii="Times New Roman" w:eastAsia="Times New Roman" w:hAnsi="Times New Roman" w:cs="Times New Roman"/>
          <w:color w:val="000000"/>
          <w:sz w:val="20"/>
          <w:szCs w:val="20"/>
        </w:rPr>
        <w:t>almost every county will need to report a</w:t>
      </w:r>
      <w:r w:rsidR="008C0C9F">
        <w:rPr>
          <w:rFonts w:ascii="Times New Roman" w:eastAsia="Times New Roman" w:hAnsi="Times New Roman" w:cs="Times New Roman"/>
          <w:color w:val="000000"/>
          <w:sz w:val="20"/>
          <w:szCs w:val="20"/>
        </w:rPr>
        <w:t xml:space="preserve"> significant increase in liabilities </w:t>
      </w:r>
      <w:r w:rsidR="00F9545B">
        <w:rPr>
          <w:rFonts w:ascii="Times New Roman" w:eastAsia="Times New Roman" w:hAnsi="Times New Roman" w:cs="Times New Roman"/>
          <w:color w:val="000000"/>
          <w:sz w:val="20"/>
          <w:szCs w:val="20"/>
        </w:rPr>
        <w:t>under the Employer Exposure Draft</w:t>
      </w:r>
      <w:r w:rsidR="008C0C9F">
        <w:rPr>
          <w:rFonts w:ascii="Times New Roman" w:eastAsia="Times New Roman" w:hAnsi="Times New Roman" w:cs="Times New Roman"/>
          <w:color w:val="000000"/>
          <w:sz w:val="20"/>
          <w:szCs w:val="20"/>
        </w:rPr>
        <w:t>, if t</w:t>
      </w:r>
      <w:r w:rsidRPr="0019750D">
        <w:rPr>
          <w:rFonts w:ascii="Times New Roman" w:eastAsia="Times New Roman" w:hAnsi="Times New Roman" w:cs="Times New Roman"/>
          <w:color w:val="000000"/>
          <w:sz w:val="20"/>
          <w:szCs w:val="20"/>
        </w:rPr>
        <w:t xml:space="preserve">he UAAL in Table 4 is </w:t>
      </w:r>
      <w:r w:rsidR="00DB3FD8" w:rsidRPr="0019750D">
        <w:rPr>
          <w:rFonts w:ascii="Times New Roman" w:eastAsia="Times New Roman" w:hAnsi="Times New Roman" w:cs="Times New Roman"/>
          <w:color w:val="000000"/>
          <w:sz w:val="20"/>
          <w:szCs w:val="20"/>
        </w:rPr>
        <w:t>essentially the amount that will be shown on governmental financial statement</w:t>
      </w:r>
      <w:r w:rsidR="008C0C9F">
        <w:rPr>
          <w:rFonts w:ascii="Times New Roman" w:eastAsia="Times New Roman" w:hAnsi="Times New Roman" w:cs="Times New Roman"/>
          <w:color w:val="000000"/>
          <w:sz w:val="20"/>
          <w:szCs w:val="20"/>
        </w:rPr>
        <w:t xml:space="preserve">s. </w:t>
      </w:r>
      <w:r w:rsidR="00AA5C83">
        <w:rPr>
          <w:rFonts w:ascii="Times New Roman" w:eastAsia="Times New Roman" w:hAnsi="Times New Roman" w:cs="Times New Roman"/>
          <w:color w:val="000000"/>
          <w:sz w:val="20"/>
          <w:szCs w:val="20"/>
        </w:rPr>
        <w:t>Our study revealed that t</w:t>
      </w:r>
      <w:r w:rsidR="00F9545B">
        <w:rPr>
          <w:rFonts w:ascii="Times New Roman" w:eastAsia="Times New Roman" w:hAnsi="Times New Roman" w:cs="Times New Roman"/>
          <w:color w:val="000000"/>
          <w:sz w:val="20"/>
          <w:szCs w:val="20"/>
        </w:rPr>
        <w:t>he</w:t>
      </w:r>
      <w:r w:rsidR="00353102" w:rsidRPr="0019750D">
        <w:rPr>
          <w:rFonts w:ascii="Times New Roman" w:eastAsia="Times New Roman" w:hAnsi="Times New Roman" w:cs="Times New Roman"/>
          <w:color w:val="000000"/>
          <w:sz w:val="20"/>
          <w:szCs w:val="20"/>
        </w:rPr>
        <w:t xml:space="preserve"> </w:t>
      </w:r>
      <w:r w:rsidR="008C0C9F">
        <w:rPr>
          <w:rFonts w:ascii="Times New Roman" w:eastAsia="Times New Roman" w:hAnsi="Times New Roman" w:cs="Times New Roman"/>
          <w:color w:val="000000"/>
          <w:sz w:val="20"/>
          <w:szCs w:val="20"/>
        </w:rPr>
        <w:t>average magnitude of this</w:t>
      </w:r>
      <w:r w:rsidR="00AA5C83">
        <w:rPr>
          <w:rFonts w:ascii="Times New Roman" w:eastAsia="Times New Roman" w:hAnsi="Times New Roman" w:cs="Times New Roman"/>
          <w:color w:val="000000"/>
          <w:sz w:val="20"/>
          <w:szCs w:val="20"/>
        </w:rPr>
        <w:t xml:space="preserve"> increase would be approximately </w:t>
      </w:r>
      <w:r w:rsidR="005E58F5">
        <w:rPr>
          <w:rFonts w:ascii="Times New Roman" w:eastAsia="Times New Roman" w:hAnsi="Times New Roman" w:cs="Times New Roman"/>
          <w:color w:val="000000"/>
          <w:sz w:val="20"/>
          <w:szCs w:val="20"/>
        </w:rPr>
        <w:t>six</w:t>
      </w:r>
      <w:r w:rsidR="00362068">
        <w:rPr>
          <w:rFonts w:ascii="Times New Roman" w:eastAsia="Times New Roman" w:hAnsi="Times New Roman" w:cs="Times New Roman"/>
          <w:color w:val="000000"/>
          <w:sz w:val="20"/>
          <w:szCs w:val="20"/>
        </w:rPr>
        <w:t xml:space="preserve"> </w:t>
      </w:r>
      <w:r w:rsidR="00F9545B">
        <w:rPr>
          <w:rFonts w:ascii="Times New Roman" w:eastAsia="Times New Roman" w:hAnsi="Times New Roman" w:cs="Times New Roman"/>
          <w:color w:val="000000"/>
          <w:sz w:val="20"/>
          <w:szCs w:val="20"/>
        </w:rPr>
        <w:t xml:space="preserve">times the amount </w:t>
      </w:r>
      <w:r w:rsidR="005E58F5">
        <w:rPr>
          <w:rFonts w:ascii="Times New Roman" w:eastAsia="Times New Roman" w:hAnsi="Times New Roman" w:cs="Times New Roman"/>
          <w:color w:val="000000"/>
          <w:sz w:val="20"/>
          <w:szCs w:val="20"/>
        </w:rPr>
        <w:t>currently reported</w:t>
      </w:r>
      <w:r w:rsidR="00F9545B">
        <w:rPr>
          <w:rFonts w:ascii="Times New Roman" w:eastAsia="Times New Roman" w:hAnsi="Times New Roman" w:cs="Times New Roman"/>
          <w:color w:val="000000"/>
          <w:sz w:val="20"/>
          <w:szCs w:val="20"/>
        </w:rPr>
        <w:t>.</w:t>
      </w:r>
    </w:p>
    <w:p w:rsidR="00E30408" w:rsidRPr="0019750D" w:rsidRDefault="00E30408" w:rsidP="00E30408">
      <w:pPr>
        <w:spacing w:after="0" w:line="240" w:lineRule="auto"/>
        <w:ind w:firstLine="720"/>
        <w:jc w:val="both"/>
        <w:rPr>
          <w:rFonts w:ascii="Times New Roman" w:eastAsia="Times New Roman" w:hAnsi="Times New Roman" w:cs="Times New Roman"/>
          <w:color w:val="000000"/>
          <w:sz w:val="20"/>
          <w:szCs w:val="20"/>
        </w:rPr>
      </w:pPr>
    </w:p>
    <w:p w:rsidR="00DB3FD8" w:rsidRDefault="00DB3FD8" w:rsidP="00E30408">
      <w:pPr>
        <w:spacing w:after="0" w:line="240" w:lineRule="auto"/>
        <w:ind w:firstLine="720"/>
        <w:jc w:val="both"/>
        <w:rPr>
          <w:rFonts w:ascii="Times New Roman" w:eastAsia="Times New Roman" w:hAnsi="Times New Roman" w:cs="Times New Roman"/>
          <w:color w:val="000000"/>
          <w:sz w:val="20"/>
          <w:szCs w:val="20"/>
        </w:rPr>
      </w:pPr>
      <w:r w:rsidRPr="0019750D">
        <w:rPr>
          <w:rFonts w:ascii="Times New Roman" w:eastAsia="Times New Roman" w:hAnsi="Times New Roman" w:cs="Times New Roman"/>
          <w:color w:val="000000"/>
          <w:sz w:val="20"/>
          <w:szCs w:val="20"/>
        </w:rPr>
        <w:t>Given that GASB</w:t>
      </w:r>
      <w:r w:rsidR="00B259B7">
        <w:rPr>
          <w:rFonts w:ascii="Times New Roman" w:eastAsia="Times New Roman" w:hAnsi="Times New Roman" w:cs="Times New Roman"/>
          <w:color w:val="000000"/>
          <w:sz w:val="20"/>
          <w:szCs w:val="20"/>
        </w:rPr>
        <w:t xml:space="preserve"> </w:t>
      </w:r>
      <w:r w:rsidRPr="0019750D">
        <w:rPr>
          <w:rFonts w:ascii="Times New Roman" w:eastAsia="Times New Roman" w:hAnsi="Times New Roman" w:cs="Times New Roman"/>
          <w:color w:val="000000"/>
          <w:sz w:val="20"/>
          <w:szCs w:val="20"/>
        </w:rPr>
        <w:t>45 already made governments reconsider some of their health benefit plans in orde</w:t>
      </w:r>
      <w:r w:rsidR="00AA5C83">
        <w:rPr>
          <w:rFonts w:ascii="Times New Roman" w:eastAsia="Times New Roman" w:hAnsi="Times New Roman" w:cs="Times New Roman"/>
          <w:color w:val="000000"/>
          <w:sz w:val="20"/>
          <w:szCs w:val="20"/>
        </w:rPr>
        <w:t>r to cut cost</w:t>
      </w:r>
      <w:r w:rsidR="00502D4F">
        <w:rPr>
          <w:rFonts w:ascii="Times New Roman" w:eastAsia="Times New Roman" w:hAnsi="Times New Roman" w:cs="Times New Roman"/>
          <w:color w:val="000000"/>
          <w:sz w:val="20"/>
          <w:szCs w:val="20"/>
        </w:rPr>
        <w:t>s</w:t>
      </w:r>
      <w:r w:rsidR="00AA5C83">
        <w:rPr>
          <w:rFonts w:ascii="Times New Roman" w:eastAsia="Times New Roman" w:hAnsi="Times New Roman" w:cs="Times New Roman"/>
          <w:color w:val="000000"/>
          <w:sz w:val="20"/>
          <w:szCs w:val="20"/>
        </w:rPr>
        <w:t xml:space="preserve">, we wonder if </w:t>
      </w:r>
      <w:r w:rsidRPr="0019750D">
        <w:rPr>
          <w:rFonts w:ascii="Times New Roman" w:eastAsia="Times New Roman" w:hAnsi="Times New Roman" w:cs="Times New Roman"/>
          <w:color w:val="000000"/>
          <w:sz w:val="20"/>
          <w:szCs w:val="20"/>
        </w:rPr>
        <w:t xml:space="preserve">the new standards will cause governments to further </w:t>
      </w:r>
      <w:r w:rsidR="008C0C9F">
        <w:rPr>
          <w:rFonts w:ascii="Times New Roman" w:eastAsia="Times New Roman" w:hAnsi="Times New Roman" w:cs="Times New Roman"/>
          <w:color w:val="000000"/>
          <w:sz w:val="20"/>
          <w:szCs w:val="20"/>
        </w:rPr>
        <w:t>re</w:t>
      </w:r>
      <w:r w:rsidRPr="0019750D">
        <w:rPr>
          <w:rFonts w:ascii="Times New Roman" w:eastAsia="Times New Roman" w:hAnsi="Times New Roman" w:cs="Times New Roman"/>
          <w:color w:val="000000"/>
          <w:sz w:val="20"/>
          <w:szCs w:val="20"/>
        </w:rPr>
        <w:t>evaluate the cost of offering OPEB plans. It remains to be seen whether what drastic measures, if any, governments will take to reduce</w:t>
      </w:r>
      <w:r w:rsidR="00202629">
        <w:rPr>
          <w:rFonts w:ascii="Times New Roman" w:eastAsia="Times New Roman" w:hAnsi="Times New Roman" w:cs="Times New Roman"/>
          <w:color w:val="000000"/>
          <w:sz w:val="20"/>
          <w:szCs w:val="20"/>
        </w:rPr>
        <w:t xml:space="preserve"> their</w:t>
      </w:r>
      <w:r w:rsidR="008C0C9F">
        <w:rPr>
          <w:rFonts w:ascii="Times New Roman" w:eastAsia="Times New Roman" w:hAnsi="Times New Roman" w:cs="Times New Roman"/>
          <w:color w:val="000000"/>
          <w:sz w:val="20"/>
          <w:szCs w:val="20"/>
        </w:rPr>
        <w:t xml:space="preserve"> potential</w:t>
      </w:r>
      <w:r w:rsidR="00202629">
        <w:rPr>
          <w:rFonts w:ascii="Times New Roman" w:eastAsia="Times New Roman" w:hAnsi="Times New Roman" w:cs="Times New Roman"/>
          <w:color w:val="000000"/>
          <w:sz w:val="20"/>
          <w:szCs w:val="20"/>
        </w:rPr>
        <w:t xml:space="preserve"> liabilities.</w:t>
      </w:r>
    </w:p>
    <w:p w:rsidR="00DC5875" w:rsidRDefault="00DC5875" w:rsidP="00E30408">
      <w:pPr>
        <w:spacing w:after="0" w:line="240" w:lineRule="auto"/>
        <w:ind w:firstLine="720"/>
        <w:jc w:val="both"/>
        <w:rPr>
          <w:rFonts w:ascii="Times New Roman" w:eastAsia="Times New Roman" w:hAnsi="Times New Roman" w:cs="Times New Roman"/>
          <w:color w:val="000000"/>
          <w:sz w:val="20"/>
          <w:szCs w:val="20"/>
        </w:rPr>
      </w:pPr>
    </w:p>
    <w:p w:rsidR="000248C5" w:rsidRPr="00577D4F" w:rsidRDefault="000248C5" w:rsidP="000248C5">
      <w:pPr>
        <w:spacing w:after="0" w:line="240" w:lineRule="auto"/>
        <w:jc w:val="center"/>
        <w:rPr>
          <w:rFonts w:ascii="Times New Roman" w:eastAsia="Times New Roman" w:hAnsi="Times New Roman" w:cs="Times New Roman"/>
          <w:b/>
          <w:color w:val="000000"/>
          <w:sz w:val="20"/>
          <w:szCs w:val="20"/>
        </w:rPr>
      </w:pPr>
      <w:r w:rsidRPr="00577D4F">
        <w:rPr>
          <w:rFonts w:ascii="Times New Roman" w:eastAsia="Times New Roman" w:hAnsi="Times New Roman" w:cs="Times New Roman"/>
          <w:b/>
          <w:color w:val="000000"/>
          <w:sz w:val="20"/>
          <w:szCs w:val="20"/>
        </w:rPr>
        <w:t>Table 4: AAL, UAAL and Percentage of Covered Payroll</w:t>
      </w:r>
      <w:r w:rsidR="00DC5875">
        <w:rPr>
          <w:rFonts w:ascii="Times New Roman" w:eastAsia="Times New Roman" w:hAnsi="Times New Roman" w:cs="Times New Roman"/>
          <w:b/>
          <w:color w:val="000000"/>
          <w:sz w:val="20"/>
          <w:szCs w:val="20"/>
        </w:rPr>
        <w:t>, 2006-2013</w:t>
      </w:r>
    </w:p>
    <w:tbl>
      <w:tblPr>
        <w:tblW w:w="8748" w:type="dxa"/>
        <w:tblInd w:w="-5" w:type="dxa"/>
        <w:tblLayout w:type="fixed"/>
        <w:tblLook w:val="04A0" w:firstRow="1" w:lastRow="0" w:firstColumn="1" w:lastColumn="0" w:noHBand="0" w:noVBand="1"/>
      </w:tblPr>
      <w:tblGrid>
        <w:gridCol w:w="1080"/>
        <w:gridCol w:w="900"/>
        <w:gridCol w:w="1080"/>
        <w:gridCol w:w="1170"/>
        <w:gridCol w:w="1170"/>
        <w:gridCol w:w="810"/>
        <w:gridCol w:w="1193"/>
        <w:gridCol w:w="1345"/>
      </w:tblGrid>
      <w:tr w:rsidR="000248C5" w:rsidRPr="00D101A6" w:rsidTr="00152ED8">
        <w:trPr>
          <w:trHeight w:val="674"/>
          <w:tblHead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8C5" w:rsidRPr="00D101A6" w:rsidRDefault="000248C5" w:rsidP="00F26D40">
            <w:pPr>
              <w:spacing w:after="0" w:line="240" w:lineRule="auto"/>
              <w:rPr>
                <w:rFonts w:ascii="Times New Roman" w:eastAsia="Times New Roman" w:hAnsi="Times New Roman" w:cs="Times New Roman"/>
                <w:b/>
                <w:bCs/>
                <w:color w:val="000000"/>
                <w:sz w:val="16"/>
                <w:szCs w:val="16"/>
              </w:rPr>
            </w:pPr>
            <w:r w:rsidRPr="00D101A6">
              <w:rPr>
                <w:rFonts w:ascii="Times New Roman" w:eastAsia="Times New Roman" w:hAnsi="Times New Roman" w:cs="Times New Roman"/>
                <w:b/>
                <w:bCs/>
                <w:color w:val="000000"/>
                <w:sz w:val="16"/>
                <w:szCs w:val="16"/>
              </w:rPr>
              <w:t xml:space="preserve">County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0248C5" w:rsidRPr="00D101A6" w:rsidRDefault="000248C5" w:rsidP="00F26D40">
            <w:pPr>
              <w:spacing w:after="0" w:line="240" w:lineRule="auto"/>
              <w:rPr>
                <w:rFonts w:ascii="Times New Roman" w:eastAsia="Times New Roman" w:hAnsi="Times New Roman" w:cs="Times New Roman"/>
                <w:b/>
                <w:bCs/>
                <w:color w:val="000000"/>
                <w:sz w:val="16"/>
                <w:szCs w:val="16"/>
              </w:rPr>
            </w:pPr>
            <w:r w:rsidRPr="00D101A6">
              <w:rPr>
                <w:rFonts w:ascii="Times New Roman" w:eastAsia="Times New Roman" w:hAnsi="Times New Roman" w:cs="Times New Roman"/>
                <w:b/>
                <w:bCs/>
                <w:color w:val="000000"/>
                <w:sz w:val="16"/>
                <w:szCs w:val="16"/>
              </w:rPr>
              <w:t xml:space="preserve">Actuarial Valuation Date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0248C5" w:rsidRPr="00D101A6" w:rsidRDefault="000248C5" w:rsidP="00F26D40">
            <w:pPr>
              <w:spacing w:after="0" w:line="240" w:lineRule="auto"/>
              <w:rPr>
                <w:rFonts w:ascii="Times New Roman" w:eastAsia="Times New Roman" w:hAnsi="Times New Roman" w:cs="Times New Roman"/>
                <w:b/>
                <w:bCs/>
                <w:color w:val="000000"/>
                <w:sz w:val="16"/>
                <w:szCs w:val="16"/>
              </w:rPr>
            </w:pPr>
            <w:r w:rsidRPr="00D101A6">
              <w:rPr>
                <w:rFonts w:ascii="Times New Roman" w:eastAsia="Times New Roman" w:hAnsi="Times New Roman" w:cs="Times New Roman"/>
                <w:b/>
                <w:bCs/>
                <w:color w:val="000000"/>
                <w:sz w:val="16"/>
                <w:szCs w:val="16"/>
              </w:rPr>
              <w:t>Actuarial Value of Assets</w:t>
            </w:r>
            <w:r>
              <w:rPr>
                <w:rFonts w:ascii="Times New Roman" w:eastAsia="Times New Roman" w:hAnsi="Times New Roman" w:cs="Times New Roman"/>
                <w:b/>
                <w:bCs/>
                <w:color w:val="000000"/>
                <w:sz w:val="16"/>
                <w:szCs w:val="16"/>
              </w:rPr>
              <w:t xml:space="preserve"> $</w:t>
            </w:r>
            <w:r w:rsidRPr="00D101A6">
              <w:rPr>
                <w:rFonts w:ascii="Times New Roman" w:eastAsia="Times New Roman" w:hAnsi="Times New Roman" w:cs="Times New Roman"/>
                <w:b/>
                <w:bCs/>
                <w:color w:val="000000"/>
                <w:sz w:val="16"/>
                <w:szCs w:val="16"/>
              </w:rPr>
              <w:t xml:space="preserve"> (a)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0248C5" w:rsidRPr="00D101A6" w:rsidRDefault="000248C5" w:rsidP="00F26D40">
            <w:pPr>
              <w:spacing w:after="0" w:line="240" w:lineRule="auto"/>
              <w:rPr>
                <w:rFonts w:ascii="Times New Roman" w:eastAsia="Times New Roman" w:hAnsi="Times New Roman" w:cs="Times New Roman"/>
                <w:b/>
                <w:bCs/>
                <w:color w:val="000000"/>
                <w:sz w:val="16"/>
                <w:szCs w:val="16"/>
              </w:rPr>
            </w:pPr>
            <w:r w:rsidRPr="00D101A6">
              <w:rPr>
                <w:rFonts w:ascii="Times New Roman" w:eastAsia="Times New Roman" w:hAnsi="Times New Roman" w:cs="Times New Roman"/>
                <w:b/>
                <w:bCs/>
                <w:color w:val="000000"/>
                <w:sz w:val="16"/>
                <w:szCs w:val="16"/>
              </w:rPr>
              <w:t xml:space="preserve">Actuarial Accrued Liability (AAL) </w:t>
            </w:r>
            <w:r>
              <w:rPr>
                <w:rFonts w:ascii="Times New Roman" w:eastAsia="Times New Roman" w:hAnsi="Times New Roman" w:cs="Times New Roman"/>
                <w:b/>
                <w:bCs/>
                <w:color w:val="000000"/>
                <w:sz w:val="16"/>
                <w:szCs w:val="16"/>
              </w:rPr>
              <w:t xml:space="preserve">$ </w:t>
            </w:r>
            <w:r w:rsidRPr="00D101A6">
              <w:rPr>
                <w:rFonts w:ascii="Times New Roman" w:eastAsia="Times New Roman" w:hAnsi="Times New Roman" w:cs="Times New Roman"/>
                <w:b/>
                <w:bCs/>
                <w:color w:val="000000"/>
                <w:sz w:val="16"/>
                <w:szCs w:val="16"/>
              </w:rPr>
              <w:t xml:space="preserve">(b)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0248C5" w:rsidRPr="00D101A6" w:rsidRDefault="000248C5" w:rsidP="00F26D40">
            <w:pPr>
              <w:spacing w:after="0" w:line="240" w:lineRule="auto"/>
              <w:rPr>
                <w:rFonts w:ascii="Times New Roman" w:eastAsia="Times New Roman" w:hAnsi="Times New Roman" w:cs="Times New Roman"/>
                <w:b/>
                <w:bCs/>
                <w:color w:val="000000"/>
                <w:sz w:val="16"/>
                <w:szCs w:val="16"/>
              </w:rPr>
            </w:pPr>
            <w:r w:rsidRPr="00D101A6">
              <w:rPr>
                <w:rFonts w:ascii="Times New Roman" w:eastAsia="Times New Roman" w:hAnsi="Times New Roman" w:cs="Times New Roman"/>
                <w:b/>
                <w:bCs/>
                <w:color w:val="000000"/>
                <w:sz w:val="16"/>
                <w:szCs w:val="16"/>
              </w:rPr>
              <w:t xml:space="preserve"> Unfunded AAL (UAAL) (b-a) </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0248C5" w:rsidRPr="00D101A6" w:rsidRDefault="000248C5" w:rsidP="00F26D40">
            <w:pPr>
              <w:spacing w:after="0" w:line="240" w:lineRule="auto"/>
              <w:rPr>
                <w:rFonts w:ascii="Times New Roman" w:eastAsia="Times New Roman" w:hAnsi="Times New Roman" w:cs="Times New Roman"/>
                <w:b/>
                <w:bCs/>
                <w:color w:val="000000"/>
                <w:sz w:val="16"/>
                <w:szCs w:val="16"/>
              </w:rPr>
            </w:pPr>
            <w:r w:rsidRPr="00D101A6">
              <w:rPr>
                <w:rFonts w:ascii="Times New Roman" w:eastAsia="Times New Roman" w:hAnsi="Times New Roman" w:cs="Times New Roman"/>
                <w:b/>
                <w:bCs/>
                <w:color w:val="000000"/>
                <w:sz w:val="16"/>
                <w:szCs w:val="16"/>
              </w:rPr>
              <w:t>Funded Ratio (a/b)</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rsidR="000248C5" w:rsidRPr="00D101A6" w:rsidRDefault="000248C5" w:rsidP="00F26D40">
            <w:pPr>
              <w:spacing w:after="0" w:line="240" w:lineRule="auto"/>
              <w:rPr>
                <w:rFonts w:ascii="Times New Roman" w:eastAsia="Times New Roman" w:hAnsi="Times New Roman" w:cs="Times New Roman"/>
                <w:b/>
                <w:bCs/>
                <w:color w:val="000000"/>
                <w:sz w:val="16"/>
                <w:szCs w:val="16"/>
              </w:rPr>
            </w:pPr>
            <w:r w:rsidRPr="00D101A6">
              <w:rPr>
                <w:rFonts w:ascii="Times New Roman" w:eastAsia="Times New Roman" w:hAnsi="Times New Roman" w:cs="Times New Roman"/>
                <w:b/>
                <w:bCs/>
                <w:color w:val="000000"/>
                <w:sz w:val="16"/>
                <w:szCs w:val="16"/>
              </w:rPr>
              <w:t xml:space="preserve"> Covered Payroll (c) </w:t>
            </w:r>
          </w:p>
        </w:tc>
        <w:tc>
          <w:tcPr>
            <w:tcW w:w="1345" w:type="dxa"/>
            <w:tcBorders>
              <w:top w:val="single" w:sz="4" w:space="0" w:color="auto"/>
              <w:left w:val="nil"/>
              <w:bottom w:val="single" w:sz="4" w:space="0" w:color="auto"/>
              <w:right w:val="single" w:sz="4" w:space="0" w:color="auto"/>
            </w:tcBorders>
            <w:shd w:val="clear" w:color="auto" w:fill="auto"/>
            <w:vAlign w:val="bottom"/>
            <w:hideMark/>
          </w:tcPr>
          <w:p w:rsidR="000248C5" w:rsidRPr="00C05FC8" w:rsidRDefault="000248C5" w:rsidP="00F26D40">
            <w:pPr>
              <w:spacing w:after="0" w:line="240" w:lineRule="auto"/>
              <w:rPr>
                <w:rFonts w:ascii="Times New Roman" w:eastAsia="Times New Roman" w:hAnsi="Times New Roman" w:cs="Times New Roman"/>
                <w:b/>
                <w:bCs/>
                <w:color w:val="000000"/>
                <w:sz w:val="16"/>
                <w:szCs w:val="16"/>
              </w:rPr>
            </w:pPr>
            <w:r w:rsidRPr="00C05FC8">
              <w:rPr>
                <w:rFonts w:ascii="Times New Roman" w:eastAsia="Times New Roman" w:hAnsi="Times New Roman" w:cs="Times New Roman"/>
                <w:b/>
                <w:bCs/>
                <w:color w:val="000000"/>
                <w:sz w:val="16"/>
                <w:szCs w:val="16"/>
              </w:rPr>
              <w:t>% of Covered Payroll ((b-a)/c)</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Chester </w:t>
            </w:r>
          </w:p>
        </w:tc>
        <w:tc>
          <w:tcPr>
            <w:tcW w:w="900" w:type="dxa"/>
            <w:tcBorders>
              <w:top w:val="nil"/>
              <w:left w:val="nil"/>
              <w:bottom w:val="single" w:sz="4" w:space="0" w:color="auto"/>
              <w:right w:val="single" w:sz="4" w:space="0" w:color="auto"/>
            </w:tcBorders>
            <w:shd w:val="clear" w:color="auto" w:fill="auto"/>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2006</w:t>
            </w:r>
          </w:p>
        </w:tc>
        <w:tc>
          <w:tcPr>
            <w:tcW w:w="1080" w:type="dxa"/>
            <w:tcBorders>
              <w:top w:val="nil"/>
              <w:left w:val="nil"/>
              <w:bottom w:val="single" w:sz="4" w:space="0" w:color="auto"/>
              <w:right w:val="single" w:sz="4" w:space="0" w:color="auto"/>
            </w:tcBorders>
            <w:shd w:val="clear" w:color="auto" w:fill="auto"/>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4,398,000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4,398,000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85,371,000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5%</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Chester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2008</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3,901,184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3,901,184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105,176,504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4%</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Chester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2010</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3,289,672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3,289,672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107,176,528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3%</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Chester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2012</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3,923,000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3,923,000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102,091,544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4%</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Clark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2006</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369,159,987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369,159,987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713,875,929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52%</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Clark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2008</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447,990,595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447,990,595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766,272,363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59%</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Clark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2010</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693,803,547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693,803,547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765,110,216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91%</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Clark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2012</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732,005,639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732,005,639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739,832,130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99%</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Fairfax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2007</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379,856,000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379,856,000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650,106,000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58%</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Fairfax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2008</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48,207,000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350,709,000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302,502,000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14%</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697,253,000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43%</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Fairfax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2009</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50,233,000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441,286,000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391,053,000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11%</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761,303,000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51%</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Fairfax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2010</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60,473,000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489,203,000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428,730,000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12%</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777,040,000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55%</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Fairfax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2011</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80,087,000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474,229,000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394,142,000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17%</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799,500,000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49%</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Fairfax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2012</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103,270,000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503,786,000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400,516,000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824,504,000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49%</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Gwinnett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2006</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163,211,000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163,211,000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190,897,000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85%</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Gwinnett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2007</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16,646,000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159,202,000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142,556,000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213,050,000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67%</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Gwinnett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2008</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17,788,000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166,922,000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149,134,000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11%</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225,465,000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66%</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Gwinnett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2009</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28,135,000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200,041,182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171,906,182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14%</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212,204,479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81%</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Gwinnett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2010</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51,362,000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194,311,000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142,949,000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26%</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219,527,000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65%</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Gwinnett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2011</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68,117,000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155,737,000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87,620,000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44%</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211,636,000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41%</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Gwinnett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2012</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87,136,272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154,126,909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66,990,637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57%</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210,699,665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32%</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Harris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2008</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852,350,950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852,350,950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698,535,669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122%</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Harris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2009</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852,350,950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852,350,950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760,995,816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112%</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Harris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2010</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859,681,747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859,681,747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766,400,980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112%</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Harris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2011</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859,681,747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859,681,747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722,468,180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119%</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Harris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2012</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976,631,331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976,631,331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751,741,400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130%</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Harris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2013</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976,631,331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976,631,331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727,014,798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134%</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Hillsborough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2008</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118,543,000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118,543,000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537,882,000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22%</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Hillsborough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2009</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60,978,000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60,978,000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541,162,000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11%</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Hillsborough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2010</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63,944,000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63,944,000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520,719,000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12%</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Hillsborough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2011</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62,197,000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62,197,000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501,910,000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12%</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Hillsborough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2012</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62,507,000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62,507,000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499,426,000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13%</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Hillsborough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2013</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79,965,000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79,965,000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507,657,000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16%</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Mecklenburg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2007</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141,825,529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141,825,529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196,700,000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72%</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Mecklenburg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2008</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8,770,000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176,699,985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167,929,985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5%</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204,000,000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82%</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Mecklenburg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2009</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20,453,803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181,646,055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161,192,252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11%</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223,100,000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72%</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Mecklenburg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2010</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30,403,865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383,025,283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352,621,418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8%</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214,800,000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164%</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Mecklenburg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2011</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32,792,954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387,947,405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355,154,451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8%</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214,550,188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166%</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lastRenderedPageBreak/>
              <w:t xml:space="preserve">Mecklenburg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2012</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38,317,546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463,282,925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424,965,379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8%</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210,482,384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202%</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Mecklenburg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2013</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48,536,553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490,423,588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441,887,035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227,162,263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195%</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Montgomery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2007</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1,176,000,000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1,176,000,000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602,006,000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195%</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Montgomery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2008</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35,279,000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1,161,222,000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1,125,943,000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3%</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667,400,000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169%</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Montgomery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2010</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47,962,000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1,859,450,000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1,811,488,000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3%</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694,040,000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261%</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Montgomery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2012</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92,610,000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1,403,693,000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1,311,083,000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7%</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618,227,000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212%</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Multnomah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2002</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61,290,000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61,290,000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212,833,000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29%</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Multnomah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2005</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109,895,000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109,895,000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228,597,000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48%</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Multnomah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2007</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122,905,000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122,905,000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246,343,000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50%</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Multnomah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2009</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122,605,000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122,605,000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263,090,000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47%</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Multnomah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2011</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154,198,000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154,198,000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273,983,000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56%</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Multnomah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2013</w:t>
            </w:r>
          </w:p>
        </w:tc>
        <w:tc>
          <w:tcPr>
            <w:tcW w:w="1080" w:type="dxa"/>
            <w:tcBorders>
              <w:top w:val="nil"/>
              <w:left w:val="nil"/>
              <w:bottom w:val="single" w:sz="4" w:space="0" w:color="auto"/>
              <w:right w:val="single" w:sz="4" w:space="0" w:color="auto"/>
            </w:tcBorders>
            <w:shd w:val="clear" w:color="auto" w:fill="auto"/>
            <w:noWrap/>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134,712,000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134,712,000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278,474,000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48%</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Oakland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2006</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303,053,196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829,684,653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526,631,457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37%</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201,019,205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262%</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Oakland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2007</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366,334,143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886,143,963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519,809,820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41%</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200,409,433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259%</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Oakland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2008</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411,280,137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888,582,402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477,302,265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46%</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186,274,882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256%</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Oakland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2009</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452,506,005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818,854,197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366,348,192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55%</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180,539,069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203%</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Oakland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2010</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854,387,415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794,094,818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(60,292,597)</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108%</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175,316,170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-34%</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Oakland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2011</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854,534,524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814,581,872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(39,952,652)</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105%</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173,903,452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-23%</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Oakland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2012</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942,378,801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867,622,212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(74,756,589)</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109%</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162,819,440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-46%</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Oakland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2013</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1,023,100,574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869,485,146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(153,615,428)</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118%</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154,128,944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-100%</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Shelby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2007</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D101A6">
              <w:rPr>
                <w:rFonts w:ascii="Times New Roman" w:eastAsia="Times New Roman" w:hAnsi="Times New Roman" w:cs="Times New Roman"/>
                <w:color w:val="000000"/>
                <w:sz w:val="16"/>
                <w:szCs w:val="16"/>
              </w:rPr>
              <w:t xml:space="preserve">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319,685,000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319,685,000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0%</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218,583,000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146%</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Shelby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2008</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36,770,000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310,527,000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273,757,000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12%</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256,191,000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107%</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Shelby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2009</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45,847,000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303,390,000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257,543,000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15%</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248,298,000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104%</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Shelby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2010</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61,592,000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322,954,000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261,362,000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19%</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253,977,000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103%</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Shelby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2011</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88,232,000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320,558,000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232,326,000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28%</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252,878,000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92%</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Shelby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2012</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105,472,000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410,938,000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305,466,000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26%</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241,767,000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126%</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Sonoma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2007</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7,000,000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414,419,000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407,419,000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286,742,000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142%</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Sonoma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2009</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9,716,000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268,454,000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258,738,000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4%</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308,594,000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84%</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Sonoma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2011</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19,046,000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316,737,000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297,691,000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6%</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314,045,000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95%</w:t>
            </w:r>
          </w:p>
        </w:tc>
      </w:tr>
      <w:tr w:rsidR="000248C5" w:rsidRPr="00D101A6" w:rsidTr="00152ED8">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Sonoma </w:t>
            </w:r>
          </w:p>
        </w:tc>
        <w:tc>
          <w:tcPr>
            <w:tcW w:w="90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2013</w:t>
            </w:r>
          </w:p>
        </w:tc>
        <w:tc>
          <w:tcPr>
            <w:tcW w:w="108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23,694,000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335,364,000 </w:t>
            </w:r>
          </w:p>
        </w:tc>
        <w:tc>
          <w:tcPr>
            <w:tcW w:w="117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311,670,000 </w:t>
            </w:r>
          </w:p>
        </w:tc>
        <w:tc>
          <w:tcPr>
            <w:tcW w:w="810"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jc w:val="right"/>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7%</w:t>
            </w:r>
          </w:p>
        </w:tc>
        <w:tc>
          <w:tcPr>
            <w:tcW w:w="1193" w:type="dxa"/>
            <w:tcBorders>
              <w:top w:val="nil"/>
              <w:left w:val="nil"/>
              <w:bottom w:val="single" w:sz="4" w:space="0" w:color="auto"/>
              <w:right w:val="single" w:sz="4" w:space="0" w:color="auto"/>
            </w:tcBorders>
            <w:shd w:val="clear" w:color="auto" w:fill="auto"/>
            <w:noWrap/>
            <w:hideMark/>
          </w:tcPr>
          <w:p w:rsidR="000248C5" w:rsidRPr="00D101A6" w:rsidRDefault="000248C5" w:rsidP="00F26D40">
            <w:pPr>
              <w:spacing w:after="0" w:line="240" w:lineRule="auto"/>
              <w:rPr>
                <w:rFonts w:ascii="Times New Roman" w:eastAsia="Times New Roman" w:hAnsi="Times New Roman" w:cs="Times New Roman"/>
                <w:color w:val="000000"/>
                <w:sz w:val="16"/>
                <w:szCs w:val="16"/>
              </w:rPr>
            </w:pPr>
            <w:r w:rsidRPr="00D101A6">
              <w:rPr>
                <w:rFonts w:ascii="Times New Roman" w:eastAsia="Times New Roman" w:hAnsi="Times New Roman" w:cs="Times New Roman"/>
                <w:color w:val="000000"/>
                <w:sz w:val="16"/>
                <w:szCs w:val="16"/>
              </w:rPr>
              <w:t xml:space="preserve">327,651,000 </w:t>
            </w:r>
          </w:p>
        </w:tc>
        <w:tc>
          <w:tcPr>
            <w:tcW w:w="1345" w:type="dxa"/>
            <w:tcBorders>
              <w:top w:val="nil"/>
              <w:left w:val="nil"/>
              <w:bottom w:val="single" w:sz="4" w:space="0" w:color="auto"/>
              <w:right w:val="single" w:sz="4" w:space="0" w:color="auto"/>
            </w:tcBorders>
            <w:shd w:val="clear" w:color="auto" w:fill="auto"/>
            <w:noWrap/>
            <w:hideMark/>
          </w:tcPr>
          <w:p w:rsidR="000248C5" w:rsidRPr="00C05FC8" w:rsidRDefault="000248C5" w:rsidP="00F26D40">
            <w:pPr>
              <w:spacing w:after="0" w:line="240" w:lineRule="auto"/>
              <w:jc w:val="right"/>
              <w:rPr>
                <w:rFonts w:ascii="Times New Roman" w:eastAsia="Times New Roman" w:hAnsi="Times New Roman" w:cs="Times New Roman"/>
                <w:color w:val="000000"/>
                <w:sz w:val="16"/>
                <w:szCs w:val="16"/>
              </w:rPr>
            </w:pPr>
            <w:r w:rsidRPr="00C05FC8">
              <w:rPr>
                <w:rFonts w:ascii="Times New Roman" w:eastAsia="Times New Roman" w:hAnsi="Times New Roman" w:cs="Times New Roman"/>
                <w:color w:val="000000"/>
                <w:sz w:val="16"/>
                <w:szCs w:val="16"/>
              </w:rPr>
              <w:t>95%</w:t>
            </w:r>
          </w:p>
        </w:tc>
      </w:tr>
    </w:tbl>
    <w:p w:rsidR="00DC5875" w:rsidRPr="00D75B33" w:rsidRDefault="00DC5875" w:rsidP="00DC5875">
      <w:pPr>
        <w:spacing w:after="0" w:line="240" w:lineRule="auto"/>
        <w:jc w:val="both"/>
        <w:rPr>
          <w:rFonts w:ascii="Times New Roman" w:eastAsia="Times New Roman" w:hAnsi="Times New Roman" w:cs="Times New Roman"/>
          <w:i/>
          <w:color w:val="000000"/>
          <w:sz w:val="18"/>
          <w:szCs w:val="18"/>
        </w:rPr>
      </w:pPr>
      <w:r w:rsidRPr="00D75B33">
        <w:rPr>
          <w:rFonts w:ascii="Times New Roman" w:eastAsia="Times New Roman" w:hAnsi="Times New Roman" w:cs="Times New Roman"/>
          <w:i/>
          <w:color w:val="000000"/>
          <w:sz w:val="18"/>
          <w:szCs w:val="18"/>
        </w:rPr>
        <w:t>Variable definition</w:t>
      </w:r>
      <w:r w:rsidR="00D75B33" w:rsidRPr="00D75B33">
        <w:rPr>
          <w:rFonts w:ascii="Times New Roman" w:eastAsia="Times New Roman" w:hAnsi="Times New Roman" w:cs="Times New Roman"/>
          <w:i/>
          <w:color w:val="000000"/>
          <w:sz w:val="18"/>
          <w:szCs w:val="18"/>
        </w:rPr>
        <w:t>s</w:t>
      </w:r>
      <w:r w:rsidRPr="00D75B33">
        <w:rPr>
          <w:rFonts w:ascii="Times New Roman" w:eastAsia="Times New Roman" w:hAnsi="Times New Roman" w:cs="Times New Roman"/>
          <w:i/>
          <w:color w:val="000000"/>
          <w:sz w:val="18"/>
          <w:szCs w:val="18"/>
        </w:rPr>
        <w:t>: AA</w:t>
      </w:r>
      <w:r w:rsidR="00D75B33">
        <w:rPr>
          <w:rFonts w:ascii="Times New Roman" w:eastAsia="Times New Roman" w:hAnsi="Times New Roman" w:cs="Times New Roman"/>
          <w:i/>
          <w:color w:val="000000"/>
          <w:sz w:val="18"/>
          <w:szCs w:val="18"/>
        </w:rPr>
        <w:t>L (</w:t>
      </w:r>
      <w:r w:rsidR="00D75B33" w:rsidRPr="00D75B33">
        <w:rPr>
          <w:rFonts w:ascii="Times New Roman" w:eastAsia="Times New Roman" w:hAnsi="Times New Roman" w:cs="Times New Roman"/>
          <w:i/>
          <w:color w:val="000000"/>
          <w:sz w:val="18"/>
          <w:szCs w:val="18"/>
        </w:rPr>
        <w:t xml:space="preserve">Actuarial </w:t>
      </w:r>
      <w:r w:rsidR="00D75B33">
        <w:rPr>
          <w:rFonts w:ascii="Times New Roman" w:eastAsia="Times New Roman" w:hAnsi="Times New Roman" w:cs="Times New Roman"/>
          <w:i/>
          <w:color w:val="000000"/>
          <w:sz w:val="18"/>
          <w:szCs w:val="18"/>
        </w:rPr>
        <w:t>Accrued Liability) is</w:t>
      </w:r>
      <w:r w:rsidRPr="00D75B33">
        <w:rPr>
          <w:rFonts w:ascii="Times New Roman" w:eastAsia="Times New Roman" w:hAnsi="Times New Roman" w:cs="Times New Roman"/>
          <w:i/>
          <w:color w:val="000000"/>
          <w:sz w:val="18"/>
          <w:szCs w:val="18"/>
        </w:rPr>
        <w:t xml:space="preserve"> the present value of the future benefits attributable to prior years of service; UAAL=AAL - Actuarial Value of Plan Assets</w:t>
      </w:r>
    </w:p>
    <w:p w:rsidR="000248C5" w:rsidRDefault="000248C5" w:rsidP="00DC5875">
      <w:pPr>
        <w:autoSpaceDE w:val="0"/>
        <w:autoSpaceDN w:val="0"/>
        <w:adjustRightInd w:val="0"/>
        <w:spacing w:after="0" w:line="240" w:lineRule="auto"/>
        <w:rPr>
          <w:rFonts w:ascii="Times New Roman" w:hAnsi="Times New Roman" w:cstheme="minorHAnsi"/>
          <w:b/>
          <w:sz w:val="20"/>
          <w:szCs w:val="20"/>
        </w:rPr>
      </w:pPr>
    </w:p>
    <w:p w:rsidR="004349C6" w:rsidRDefault="00AE0738" w:rsidP="00AE0738">
      <w:pPr>
        <w:autoSpaceDE w:val="0"/>
        <w:autoSpaceDN w:val="0"/>
        <w:adjustRightInd w:val="0"/>
        <w:spacing w:after="0" w:line="240" w:lineRule="auto"/>
        <w:jc w:val="center"/>
        <w:rPr>
          <w:rFonts w:ascii="Times New Roman" w:hAnsi="Times New Roman" w:cstheme="minorHAnsi"/>
          <w:b/>
          <w:sz w:val="20"/>
          <w:szCs w:val="20"/>
        </w:rPr>
      </w:pPr>
      <w:r w:rsidRPr="0019750D">
        <w:rPr>
          <w:rFonts w:ascii="Times New Roman" w:hAnsi="Times New Roman" w:cstheme="minorHAnsi"/>
          <w:b/>
          <w:sz w:val="20"/>
          <w:szCs w:val="20"/>
        </w:rPr>
        <w:t>CONCLUSION</w:t>
      </w:r>
      <w:r w:rsidR="00615CCA">
        <w:rPr>
          <w:rFonts w:ascii="Times New Roman" w:hAnsi="Times New Roman" w:cstheme="minorHAnsi"/>
          <w:b/>
          <w:sz w:val="20"/>
          <w:szCs w:val="20"/>
        </w:rPr>
        <w:t xml:space="preserve">S </w:t>
      </w:r>
    </w:p>
    <w:p w:rsidR="00E44BAA" w:rsidRPr="0019750D" w:rsidRDefault="00E44BAA" w:rsidP="00AE0738">
      <w:pPr>
        <w:autoSpaceDE w:val="0"/>
        <w:autoSpaceDN w:val="0"/>
        <w:adjustRightInd w:val="0"/>
        <w:spacing w:after="0" w:line="240" w:lineRule="auto"/>
        <w:jc w:val="center"/>
        <w:rPr>
          <w:rFonts w:ascii="Times New Roman" w:hAnsi="Times New Roman" w:cstheme="minorHAnsi"/>
          <w:b/>
          <w:sz w:val="20"/>
          <w:szCs w:val="20"/>
        </w:rPr>
      </w:pPr>
    </w:p>
    <w:p w:rsidR="006F62A6" w:rsidRDefault="00DB3FD8" w:rsidP="00F108BC">
      <w:pPr>
        <w:autoSpaceDE w:val="0"/>
        <w:autoSpaceDN w:val="0"/>
        <w:adjustRightInd w:val="0"/>
        <w:spacing w:after="0" w:line="240" w:lineRule="auto"/>
        <w:ind w:firstLine="720"/>
        <w:jc w:val="both"/>
        <w:rPr>
          <w:rFonts w:ascii="Times New Roman" w:hAnsi="Times New Roman" w:cstheme="minorHAnsi"/>
          <w:sz w:val="20"/>
          <w:szCs w:val="20"/>
        </w:rPr>
      </w:pPr>
      <w:r w:rsidRPr="0019750D">
        <w:rPr>
          <w:rFonts w:ascii="Times New Roman" w:hAnsi="Times New Roman" w:cstheme="minorHAnsi"/>
          <w:sz w:val="20"/>
          <w:szCs w:val="20"/>
        </w:rPr>
        <w:t xml:space="preserve">In this study, we explored the three stages </w:t>
      </w:r>
      <w:r w:rsidR="00E521A1">
        <w:rPr>
          <w:rFonts w:ascii="Times New Roman" w:hAnsi="Times New Roman" w:cstheme="minorHAnsi"/>
          <w:sz w:val="20"/>
          <w:szCs w:val="20"/>
        </w:rPr>
        <w:t>of reporting OPEB liabilities</w:t>
      </w:r>
      <w:r w:rsidR="003F7325">
        <w:rPr>
          <w:rFonts w:ascii="Times New Roman" w:hAnsi="Times New Roman" w:cstheme="minorHAnsi"/>
          <w:sz w:val="20"/>
          <w:szCs w:val="20"/>
        </w:rPr>
        <w:t>. In the first stage,</w:t>
      </w:r>
      <w:r w:rsidRPr="0019750D">
        <w:rPr>
          <w:rFonts w:ascii="Times New Roman" w:hAnsi="Times New Roman" w:cstheme="minorHAnsi"/>
          <w:sz w:val="20"/>
          <w:szCs w:val="20"/>
        </w:rPr>
        <w:t xml:space="preserve"> pay-as-you-go</w:t>
      </w:r>
      <w:r w:rsidR="003F7325">
        <w:rPr>
          <w:rFonts w:ascii="Times New Roman" w:hAnsi="Times New Roman" w:cstheme="minorHAnsi"/>
          <w:sz w:val="20"/>
          <w:szCs w:val="20"/>
        </w:rPr>
        <w:t>,</w:t>
      </w:r>
      <w:r w:rsidRPr="0019750D">
        <w:rPr>
          <w:rFonts w:ascii="Times New Roman" w:hAnsi="Times New Roman" w:cstheme="minorHAnsi"/>
          <w:sz w:val="20"/>
          <w:szCs w:val="20"/>
        </w:rPr>
        <w:t xml:space="preserve"> </w:t>
      </w:r>
      <w:r w:rsidR="00E521A1">
        <w:rPr>
          <w:rFonts w:ascii="Times New Roman" w:hAnsi="Times New Roman" w:cstheme="minorHAnsi"/>
          <w:sz w:val="20"/>
          <w:szCs w:val="20"/>
        </w:rPr>
        <w:t xml:space="preserve">OPEB </w:t>
      </w:r>
      <w:r w:rsidR="00615CCA">
        <w:rPr>
          <w:rFonts w:ascii="Times New Roman" w:hAnsi="Times New Roman" w:cstheme="minorHAnsi"/>
          <w:sz w:val="20"/>
          <w:szCs w:val="20"/>
        </w:rPr>
        <w:t>liabilities were recognized on the cash versus the</w:t>
      </w:r>
      <w:r w:rsidR="00E521A1">
        <w:rPr>
          <w:rFonts w:ascii="Times New Roman" w:hAnsi="Times New Roman" w:cstheme="minorHAnsi"/>
          <w:sz w:val="20"/>
          <w:szCs w:val="20"/>
        </w:rPr>
        <w:t xml:space="preserve"> </w:t>
      </w:r>
      <w:r w:rsidRPr="0019750D">
        <w:rPr>
          <w:rFonts w:ascii="Times New Roman" w:hAnsi="Times New Roman" w:cstheme="minorHAnsi"/>
          <w:sz w:val="20"/>
          <w:szCs w:val="20"/>
        </w:rPr>
        <w:t>ac</w:t>
      </w:r>
      <w:r w:rsidR="00E521A1">
        <w:rPr>
          <w:rFonts w:ascii="Times New Roman" w:hAnsi="Times New Roman" w:cstheme="minorHAnsi"/>
          <w:sz w:val="20"/>
          <w:szCs w:val="20"/>
        </w:rPr>
        <w:t xml:space="preserve">crual basis of accounting.  In the second stage, </w:t>
      </w:r>
      <w:r w:rsidRPr="0019750D">
        <w:rPr>
          <w:rFonts w:ascii="Times New Roman" w:hAnsi="Times New Roman" w:cstheme="minorHAnsi"/>
          <w:sz w:val="20"/>
          <w:szCs w:val="20"/>
        </w:rPr>
        <w:t>ushered in by GASB</w:t>
      </w:r>
      <w:r w:rsidR="006F62A6">
        <w:rPr>
          <w:rFonts w:ascii="Times New Roman" w:hAnsi="Times New Roman" w:cstheme="minorHAnsi"/>
          <w:sz w:val="20"/>
          <w:szCs w:val="20"/>
        </w:rPr>
        <w:t xml:space="preserve"> </w:t>
      </w:r>
      <w:r w:rsidR="00E521A1">
        <w:rPr>
          <w:rFonts w:ascii="Times New Roman" w:hAnsi="Times New Roman" w:cstheme="minorHAnsi"/>
          <w:sz w:val="20"/>
          <w:szCs w:val="20"/>
        </w:rPr>
        <w:t xml:space="preserve">45, </w:t>
      </w:r>
      <w:r w:rsidR="00615CCA">
        <w:rPr>
          <w:rFonts w:ascii="Times New Roman" w:hAnsi="Times New Roman" w:cstheme="minorHAnsi"/>
          <w:sz w:val="20"/>
          <w:szCs w:val="20"/>
        </w:rPr>
        <w:t>governments used</w:t>
      </w:r>
      <w:r w:rsidR="00E521A1">
        <w:rPr>
          <w:rFonts w:ascii="Times New Roman" w:hAnsi="Times New Roman" w:cstheme="minorHAnsi"/>
          <w:sz w:val="20"/>
          <w:szCs w:val="20"/>
        </w:rPr>
        <w:t xml:space="preserve"> the accrual </w:t>
      </w:r>
      <w:r w:rsidR="00B113D9" w:rsidRPr="0019750D">
        <w:rPr>
          <w:rFonts w:ascii="Times New Roman" w:hAnsi="Times New Roman" w:cstheme="minorHAnsi"/>
          <w:sz w:val="20"/>
          <w:szCs w:val="20"/>
        </w:rPr>
        <w:t xml:space="preserve">basis </w:t>
      </w:r>
      <w:r w:rsidR="00E418B4">
        <w:rPr>
          <w:rFonts w:ascii="Times New Roman" w:hAnsi="Times New Roman" w:cstheme="minorHAnsi"/>
          <w:sz w:val="20"/>
          <w:szCs w:val="20"/>
        </w:rPr>
        <w:t xml:space="preserve">of accounting </w:t>
      </w:r>
      <w:r w:rsidR="00E521A1">
        <w:rPr>
          <w:rFonts w:ascii="Times New Roman" w:hAnsi="Times New Roman" w:cstheme="minorHAnsi"/>
          <w:sz w:val="20"/>
          <w:szCs w:val="20"/>
        </w:rPr>
        <w:t xml:space="preserve">for </w:t>
      </w:r>
      <w:r w:rsidR="00B113D9" w:rsidRPr="0019750D">
        <w:rPr>
          <w:rFonts w:ascii="Times New Roman" w:hAnsi="Times New Roman" w:cstheme="minorHAnsi"/>
          <w:sz w:val="20"/>
          <w:szCs w:val="20"/>
        </w:rPr>
        <w:t>recognition of incremental OPEB obligation</w:t>
      </w:r>
      <w:r w:rsidR="00E521A1">
        <w:rPr>
          <w:rFonts w:ascii="Times New Roman" w:hAnsi="Times New Roman" w:cstheme="minorHAnsi"/>
          <w:sz w:val="20"/>
          <w:szCs w:val="20"/>
        </w:rPr>
        <w:t>s</w:t>
      </w:r>
      <w:r w:rsidR="00B113D9" w:rsidRPr="0019750D">
        <w:rPr>
          <w:rFonts w:ascii="Times New Roman" w:hAnsi="Times New Roman" w:cstheme="minorHAnsi"/>
          <w:sz w:val="20"/>
          <w:szCs w:val="20"/>
        </w:rPr>
        <w:t xml:space="preserve"> and </w:t>
      </w:r>
      <w:r w:rsidR="00615CCA">
        <w:rPr>
          <w:rFonts w:ascii="Times New Roman" w:hAnsi="Times New Roman" w:cstheme="minorHAnsi"/>
          <w:sz w:val="20"/>
          <w:szCs w:val="20"/>
        </w:rPr>
        <w:t xml:space="preserve">provided </w:t>
      </w:r>
      <w:r w:rsidR="00B113D9" w:rsidRPr="0019750D">
        <w:rPr>
          <w:rFonts w:ascii="Times New Roman" w:hAnsi="Times New Roman" w:cstheme="minorHAnsi"/>
          <w:sz w:val="20"/>
          <w:szCs w:val="20"/>
        </w:rPr>
        <w:t xml:space="preserve">extensive </w:t>
      </w:r>
      <w:r w:rsidR="00D75B33">
        <w:rPr>
          <w:rFonts w:ascii="Times New Roman" w:hAnsi="Times New Roman" w:cstheme="minorHAnsi"/>
          <w:sz w:val="20"/>
          <w:szCs w:val="20"/>
        </w:rPr>
        <w:t>supplemental information</w:t>
      </w:r>
      <w:r w:rsidR="00B113D9" w:rsidRPr="0019750D">
        <w:rPr>
          <w:rFonts w:ascii="Times New Roman" w:hAnsi="Times New Roman" w:cstheme="minorHAnsi"/>
          <w:sz w:val="20"/>
          <w:szCs w:val="20"/>
        </w:rPr>
        <w:t>. GASB</w:t>
      </w:r>
      <w:r w:rsidR="004349C6">
        <w:rPr>
          <w:rFonts w:ascii="Times New Roman" w:hAnsi="Times New Roman" w:cstheme="minorHAnsi"/>
          <w:sz w:val="20"/>
          <w:szCs w:val="20"/>
        </w:rPr>
        <w:t xml:space="preserve"> </w:t>
      </w:r>
      <w:r w:rsidR="00B113D9" w:rsidRPr="0019750D">
        <w:rPr>
          <w:rFonts w:ascii="Times New Roman" w:hAnsi="Times New Roman" w:cstheme="minorHAnsi"/>
          <w:sz w:val="20"/>
          <w:szCs w:val="20"/>
        </w:rPr>
        <w:t xml:space="preserve">45 also </w:t>
      </w:r>
      <w:r w:rsidRPr="0019750D">
        <w:rPr>
          <w:rFonts w:ascii="Times New Roman" w:hAnsi="Times New Roman" w:cstheme="minorHAnsi"/>
          <w:sz w:val="20"/>
          <w:szCs w:val="20"/>
        </w:rPr>
        <w:t>made government</w:t>
      </w:r>
      <w:r w:rsidR="00B113D9" w:rsidRPr="0019750D">
        <w:rPr>
          <w:rFonts w:ascii="Times New Roman" w:hAnsi="Times New Roman" w:cstheme="minorHAnsi"/>
          <w:sz w:val="20"/>
          <w:szCs w:val="20"/>
        </w:rPr>
        <w:t>s</w:t>
      </w:r>
      <w:r w:rsidRPr="0019750D">
        <w:rPr>
          <w:rFonts w:ascii="Times New Roman" w:hAnsi="Times New Roman" w:cstheme="minorHAnsi"/>
          <w:sz w:val="20"/>
          <w:szCs w:val="20"/>
        </w:rPr>
        <w:t xml:space="preserve"> </w:t>
      </w:r>
      <w:r w:rsidR="00B113D9" w:rsidRPr="0019750D">
        <w:rPr>
          <w:rFonts w:ascii="Times New Roman" w:hAnsi="Times New Roman" w:cstheme="minorHAnsi"/>
          <w:sz w:val="20"/>
          <w:szCs w:val="20"/>
        </w:rPr>
        <w:t>reevaluate plan offering</w:t>
      </w:r>
      <w:r w:rsidR="006F62A6">
        <w:rPr>
          <w:rFonts w:ascii="Times New Roman" w:hAnsi="Times New Roman" w:cstheme="minorHAnsi"/>
          <w:sz w:val="20"/>
          <w:szCs w:val="20"/>
        </w:rPr>
        <w:t>s</w:t>
      </w:r>
      <w:r w:rsidR="00B113D9" w:rsidRPr="0019750D">
        <w:rPr>
          <w:rFonts w:ascii="Times New Roman" w:hAnsi="Times New Roman" w:cstheme="minorHAnsi"/>
          <w:sz w:val="20"/>
          <w:szCs w:val="20"/>
        </w:rPr>
        <w:t xml:space="preserve"> and</w:t>
      </w:r>
      <w:r w:rsidR="006F62A6">
        <w:rPr>
          <w:rFonts w:ascii="Times New Roman" w:hAnsi="Times New Roman" w:cstheme="minorHAnsi"/>
          <w:sz w:val="20"/>
          <w:szCs w:val="20"/>
        </w:rPr>
        <w:t xml:space="preserve"> funding policies</w:t>
      </w:r>
      <w:r w:rsidR="004349C6">
        <w:rPr>
          <w:rFonts w:ascii="Times New Roman" w:hAnsi="Times New Roman" w:cstheme="minorHAnsi"/>
          <w:sz w:val="20"/>
          <w:szCs w:val="20"/>
        </w:rPr>
        <w:t xml:space="preserve">. </w:t>
      </w:r>
      <w:r w:rsidR="006F62A6">
        <w:rPr>
          <w:rFonts w:ascii="Times New Roman" w:hAnsi="Times New Roman" w:cstheme="minorHAnsi"/>
          <w:sz w:val="20"/>
          <w:szCs w:val="20"/>
        </w:rPr>
        <w:t>In the third stage, t</w:t>
      </w:r>
      <w:r w:rsidR="004349C6">
        <w:rPr>
          <w:rFonts w:ascii="Times New Roman" w:hAnsi="Times New Roman" w:cstheme="minorHAnsi"/>
          <w:sz w:val="20"/>
          <w:szCs w:val="20"/>
        </w:rPr>
        <w:t>he tw</w:t>
      </w:r>
      <w:r w:rsidR="00615CCA">
        <w:rPr>
          <w:rFonts w:ascii="Times New Roman" w:hAnsi="Times New Roman" w:cstheme="minorHAnsi"/>
          <w:sz w:val="20"/>
          <w:szCs w:val="20"/>
        </w:rPr>
        <w:t>o</w:t>
      </w:r>
      <w:r w:rsidR="004349C6">
        <w:rPr>
          <w:rFonts w:ascii="Times New Roman" w:hAnsi="Times New Roman" w:cstheme="minorHAnsi"/>
          <w:sz w:val="20"/>
          <w:szCs w:val="20"/>
        </w:rPr>
        <w:t xml:space="preserve"> Exposure Drafts </w:t>
      </w:r>
      <w:r w:rsidR="00615CCA">
        <w:rPr>
          <w:rFonts w:ascii="Times New Roman" w:hAnsi="Times New Roman" w:cstheme="minorHAnsi"/>
          <w:sz w:val="20"/>
          <w:szCs w:val="20"/>
        </w:rPr>
        <w:t>and subsequent two new GASB standards</w:t>
      </w:r>
      <w:r w:rsidR="00F108BC">
        <w:rPr>
          <w:rFonts w:ascii="Times New Roman" w:hAnsi="Times New Roman" w:cstheme="minorHAnsi"/>
          <w:sz w:val="20"/>
          <w:szCs w:val="20"/>
        </w:rPr>
        <w:t>,</w:t>
      </w:r>
      <w:r w:rsidR="00615CCA">
        <w:rPr>
          <w:rFonts w:ascii="Times New Roman" w:hAnsi="Times New Roman" w:cstheme="minorHAnsi"/>
          <w:sz w:val="20"/>
          <w:szCs w:val="20"/>
        </w:rPr>
        <w:t xml:space="preserve"> </w:t>
      </w:r>
      <w:r w:rsidR="00B113D9" w:rsidRPr="0019750D">
        <w:rPr>
          <w:rFonts w:ascii="Times New Roman" w:hAnsi="Times New Roman" w:cstheme="minorHAnsi"/>
          <w:sz w:val="20"/>
          <w:szCs w:val="20"/>
        </w:rPr>
        <w:t>balance sheet recognition of essentially all unfunded liabilities and more str</w:t>
      </w:r>
      <w:r w:rsidR="00F108BC">
        <w:rPr>
          <w:rFonts w:ascii="Times New Roman" w:hAnsi="Times New Roman" w:cstheme="minorHAnsi"/>
          <w:sz w:val="20"/>
          <w:szCs w:val="20"/>
        </w:rPr>
        <w:t>ingent use of actuarial methods will be required.</w:t>
      </w:r>
      <w:r w:rsidR="00B113D9" w:rsidRPr="0019750D">
        <w:rPr>
          <w:rFonts w:ascii="Times New Roman" w:hAnsi="Times New Roman" w:cstheme="minorHAnsi"/>
          <w:sz w:val="20"/>
          <w:szCs w:val="20"/>
        </w:rPr>
        <w:t xml:space="preserve"> </w:t>
      </w:r>
      <w:r w:rsidRPr="0019750D">
        <w:rPr>
          <w:rFonts w:ascii="Times New Roman" w:hAnsi="Times New Roman" w:cstheme="minorHAnsi"/>
          <w:sz w:val="20"/>
          <w:szCs w:val="20"/>
        </w:rPr>
        <w:t xml:space="preserve"> </w:t>
      </w:r>
      <w:r w:rsidR="00E418B4">
        <w:rPr>
          <w:rFonts w:ascii="Times New Roman" w:hAnsi="Times New Roman" w:cstheme="minorHAnsi"/>
          <w:sz w:val="20"/>
          <w:szCs w:val="20"/>
        </w:rPr>
        <w:t>Future research may track the ch</w:t>
      </w:r>
      <w:r w:rsidR="00F108BC">
        <w:rPr>
          <w:rFonts w:ascii="Times New Roman" w:hAnsi="Times New Roman" w:cstheme="minorHAnsi"/>
          <w:sz w:val="20"/>
          <w:szCs w:val="20"/>
        </w:rPr>
        <w:t>anges in governmental financial</w:t>
      </w:r>
      <w:r w:rsidR="00E418B4">
        <w:rPr>
          <w:rFonts w:ascii="Times New Roman" w:hAnsi="Times New Roman" w:cstheme="minorHAnsi"/>
          <w:sz w:val="20"/>
          <w:szCs w:val="20"/>
        </w:rPr>
        <w:t xml:space="preserve"> statements after th</w:t>
      </w:r>
      <w:r w:rsidR="00F108BC">
        <w:rPr>
          <w:rFonts w:ascii="Times New Roman" w:hAnsi="Times New Roman" w:cstheme="minorHAnsi"/>
          <w:sz w:val="20"/>
          <w:szCs w:val="20"/>
        </w:rPr>
        <w:t>e implementation of the new GASB</w:t>
      </w:r>
      <w:r w:rsidR="00E418B4">
        <w:rPr>
          <w:rFonts w:ascii="Times New Roman" w:hAnsi="Times New Roman" w:cstheme="minorHAnsi"/>
          <w:sz w:val="20"/>
          <w:szCs w:val="20"/>
        </w:rPr>
        <w:t xml:space="preserve"> standards.</w:t>
      </w:r>
    </w:p>
    <w:p w:rsidR="006F62A6" w:rsidRDefault="006F62A6" w:rsidP="00AE0738">
      <w:pPr>
        <w:autoSpaceDE w:val="0"/>
        <w:autoSpaceDN w:val="0"/>
        <w:adjustRightInd w:val="0"/>
        <w:spacing w:after="0" w:line="240" w:lineRule="auto"/>
        <w:ind w:firstLine="720"/>
        <w:jc w:val="both"/>
        <w:rPr>
          <w:rFonts w:ascii="Times New Roman" w:hAnsi="Times New Roman" w:cstheme="minorHAnsi"/>
          <w:sz w:val="20"/>
          <w:szCs w:val="20"/>
        </w:rPr>
      </w:pPr>
    </w:p>
    <w:p w:rsidR="006F62A6" w:rsidRDefault="006F62A6" w:rsidP="006F62A6">
      <w:pPr>
        <w:autoSpaceDE w:val="0"/>
        <w:autoSpaceDN w:val="0"/>
        <w:adjustRightInd w:val="0"/>
        <w:spacing w:after="0" w:line="240" w:lineRule="auto"/>
        <w:ind w:firstLine="720"/>
        <w:jc w:val="both"/>
        <w:rPr>
          <w:rFonts w:ascii="Times New Roman" w:hAnsi="Times New Roman" w:cstheme="minorHAnsi"/>
          <w:sz w:val="20"/>
          <w:szCs w:val="20"/>
        </w:rPr>
      </w:pPr>
      <w:r w:rsidRPr="0019750D">
        <w:rPr>
          <w:rFonts w:ascii="Times New Roman" w:eastAsia="Times New Roman" w:hAnsi="Times New Roman" w:cs="Times New Roman"/>
          <w:color w:val="000000"/>
          <w:sz w:val="20"/>
          <w:szCs w:val="20"/>
        </w:rPr>
        <w:t>Our study found inconsistencies in the</w:t>
      </w:r>
      <w:r w:rsidR="00E418B4">
        <w:rPr>
          <w:rFonts w:ascii="Times New Roman" w:eastAsia="Times New Roman" w:hAnsi="Times New Roman" w:cs="Times New Roman"/>
          <w:color w:val="000000"/>
          <w:sz w:val="20"/>
          <w:szCs w:val="20"/>
        </w:rPr>
        <w:t xml:space="preserve"> way</w:t>
      </w:r>
      <w:r w:rsidRPr="0019750D">
        <w:rPr>
          <w:rFonts w:ascii="Times New Roman" w:eastAsia="Times New Roman" w:hAnsi="Times New Roman" w:cs="Times New Roman"/>
          <w:color w:val="000000"/>
          <w:sz w:val="20"/>
          <w:szCs w:val="20"/>
        </w:rPr>
        <w:t xml:space="preserve"> </w:t>
      </w:r>
      <w:r w:rsidR="00020D5C">
        <w:rPr>
          <w:rFonts w:ascii="Times New Roman" w:eastAsia="Times New Roman" w:hAnsi="Times New Roman" w:cs="Times New Roman"/>
          <w:color w:val="000000"/>
          <w:sz w:val="20"/>
          <w:szCs w:val="20"/>
        </w:rPr>
        <w:t>12</w:t>
      </w:r>
      <w:r w:rsidR="00615CCA">
        <w:rPr>
          <w:rFonts w:ascii="Times New Roman" w:eastAsia="Times New Roman" w:hAnsi="Times New Roman" w:cs="Times New Roman"/>
          <w:color w:val="000000"/>
          <w:sz w:val="20"/>
          <w:szCs w:val="20"/>
        </w:rPr>
        <w:t xml:space="preserve"> U</w:t>
      </w:r>
      <w:r w:rsidR="00D0708D">
        <w:rPr>
          <w:rFonts w:ascii="Times New Roman" w:eastAsia="Times New Roman" w:hAnsi="Times New Roman" w:cs="Times New Roman"/>
          <w:color w:val="000000"/>
          <w:sz w:val="20"/>
          <w:szCs w:val="20"/>
        </w:rPr>
        <w:t>.</w:t>
      </w:r>
      <w:r w:rsidR="00615CCA">
        <w:rPr>
          <w:rFonts w:ascii="Times New Roman" w:eastAsia="Times New Roman" w:hAnsi="Times New Roman" w:cs="Times New Roman"/>
          <w:color w:val="000000"/>
          <w:sz w:val="20"/>
          <w:szCs w:val="20"/>
        </w:rPr>
        <w:t>S</w:t>
      </w:r>
      <w:r w:rsidR="00D0708D">
        <w:rPr>
          <w:rFonts w:ascii="Times New Roman" w:eastAsia="Times New Roman" w:hAnsi="Times New Roman" w:cs="Times New Roman"/>
          <w:color w:val="000000"/>
          <w:sz w:val="20"/>
          <w:szCs w:val="20"/>
        </w:rPr>
        <w:t>.</w:t>
      </w:r>
      <w:r w:rsidR="00615CCA">
        <w:rPr>
          <w:rFonts w:ascii="Times New Roman" w:eastAsia="Times New Roman" w:hAnsi="Times New Roman" w:cs="Times New Roman"/>
          <w:color w:val="000000"/>
          <w:sz w:val="20"/>
          <w:szCs w:val="20"/>
        </w:rPr>
        <w:t xml:space="preserve"> </w:t>
      </w:r>
      <w:r w:rsidR="00E418B4">
        <w:rPr>
          <w:rFonts w:ascii="Times New Roman" w:eastAsia="Times New Roman" w:hAnsi="Times New Roman" w:cs="Times New Roman"/>
          <w:color w:val="000000"/>
          <w:sz w:val="20"/>
          <w:szCs w:val="20"/>
        </w:rPr>
        <w:t>counties used</w:t>
      </w:r>
      <w:r w:rsidRPr="0019750D">
        <w:rPr>
          <w:rFonts w:ascii="Times New Roman" w:eastAsia="Times New Roman" w:hAnsi="Times New Roman" w:cs="Times New Roman"/>
          <w:color w:val="000000"/>
          <w:sz w:val="20"/>
          <w:szCs w:val="20"/>
        </w:rPr>
        <w:t xml:space="preserve"> discount rates and other actuarial methods, supporting GASB’s claims that the new standards will make governmental financial statements more comparable. Moreover, by examining current disclosures, we documented the likely magnitude of the increase in liabilities. </w:t>
      </w:r>
      <w:r w:rsidR="00020D5C">
        <w:rPr>
          <w:rFonts w:ascii="Times New Roman" w:eastAsia="Times New Roman" w:hAnsi="Times New Roman" w:cs="Times New Roman"/>
          <w:color w:val="000000"/>
          <w:sz w:val="20"/>
          <w:szCs w:val="20"/>
        </w:rPr>
        <w:t xml:space="preserve"> </w:t>
      </w:r>
      <w:r w:rsidR="00F9545B">
        <w:rPr>
          <w:rFonts w:ascii="Times New Roman" w:eastAsia="Times New Roman" w:hAnsi="Times New Roman" w:cs="Times New Roman"/>
          <w:color w:val="000000"/>
          <w:sz w:val="20"/>
          <w:szCs w:val="20"/>
        </w:rPr>
        <w:t>Our study revealed</w:t>
      </w:r>
      <w:r w:rsidR="00F108BC">
        <w:rPr>
          <w:rFonts w:ascii="Times New Roman" w:eastAsia="Times New Roman" w:hAnsi="Times New Roman" w:cs="Times New Roman"/>
          <w:color w:val="000000"/>
          <w:sz w:val="20"/>
          <w:szCs w:val="20"/>
        </w:rPr>
        <w:t xml:space="preserve">, after the new GASB standards are implemented, </w:t>
      </w:r>
      <w:r w:rsidR="00F9545B">
        <w:rPr>
          <w:rFonts w:ascii="Times New Roman" w:eastAsia="Times New Roman" w:hAnsi="Times New Roman" w:cs="Times New Roman"/>
          <w:color w:val="000000"/>
          <w:sz w:val="20"/>
          <w:szCs w:val="20"/>
        </w:rPr>
        <w:t xml:space="preserve">reported OPEB liabilities </w:t>
      </w:r>
      <w:r w:rsidR="00D75B33">
        <w:rPr>
          <w:rFonts w:ascii="Times New Roman" w:eastAsia="Times New Roman" w:hAnsi="Times New Roman" w:cs="Times New Roman"/>
          <w:color w:val="000000"/>
          <w:sz w:val="20"/>
          <w:szCs w:val="20"/>
        </w:rPr>
        <w:t>may</w:t>
      </w:r>
      <w:r w:rsidR="00362068">
        <w:rPr>
          <w:rFonts w:ascii="Times New Roman" w:eastAsia="Times New Roman" w:hAnsi="Times New Roman" w:cs="Times New Roman"/>
          <w:color w:val="000000"/>
          <w:sz w:val="20"/>
          <w:szCs w:val="20"/>
        </w:rPr>
        <w:t xml:space="preserve"> increase a whopping seven</w:t>
      </w:r>
      <w:r w:rsidR="00F9545B">
        <w:rPr>
          <w:rFonts w:ascii="Times New Roman" w:eastAsia="Times New Roman" w:hAnsi="Times New Roman" w:cs="Times New Roman"/>
          <w:color w:val="000000"/>
          <w:sz w:val="20"/>
          <w:szCs w:val="20"/>
        </w:rPr>
        <w:t xml:space="preserve"> times the a</w:t>
      </w:r>
      <w:r w:rsidR="00F108BC">
        <w:rPr>
          <w:rFonts w:ascii="Times New Roman" w:eastAsia="Times New Roman" w:hAnsi="Times New Roman" w:cs="Times New Roman"/>
          <w:color w:val="000000"/>
          <w:sz w:val="20"/>
          <w:szCs w:val="20"/>
        </w:rPr>
        <w:t>mount that they are</w:t>
      </w:r>
      <w:r w:rsidR="00F9545B">
        <w:rPr>
          <w:rFonts w:ascii="Times New Roman" w:eastAsia="Times New Roman" w:hAnsi="Times New Roman" w:cs="Times New Roman"/>
          <w:color w:val="000000"/>
          <w:sz w:val="20"/>
          <w:szCs w:val="20"/>
        </w:rPr>
        <w:t xml:space="preserve"> currently reported.  </w:t>
      </w:r>
      <w:r w:rsidR="007B0F27">
        <w:rPr>
          <w:rFonts w:ascii="Times New Roman" w:eastAsia="Times New Roman" w:hAnsi="Times New Roman" w:cs="Times New Roman"/>
          <w:color w:val="000000"/>
          <w:sz w:val="20"/>
          <w:szCs w:val="20"/>
        </w:rPr>
        <w:t>We believe</w:t>
      </w:r>
      <w:r w:rsidR="00E418B4">
        <w:rPr>
          <w:rFonts w:ascii="Times New Roman" w:eastAsia="Times New Roman" w:hAnsi="Times New Roman" w:cs="Times New Roman"/>
          <w:color w:val="000000"/>
          <w:sz w:val="20"/>
          <w:szCs w:val="20"/>
        </w:rPr>
        <w:t xml:space="preserve"> t</w:t>
      </w:r>
      <w:r w:rsidR="00020D5C">
        <w:rPr>
          <w:rFonts w:ascii="Times New Roman" w:eastAsia="Times New Roman" w:hAnsi="Times New Roman" w:cs="Times New Roman"/>
          <w:color w:val="000000"/>
          <w:sz w:val="20"/>
          <w:szCs w:val="20"/>
        </w:rPr>
        <w:t xml:space="preserve">he </w:t>
      </w:r>
      <w:r w:rsidR="007B0F27">
        <w:rPr>
          <w:rFonts w:ascii="Times New Roman" w:eastAsia="Times New Roman" w:hAnsi="Times New Roman" w:cs="Times New Roman"/>
          <w:color w:val="000000"/>
          <w:sz w:val="20"/>
          <w:szCs w:val="20"/>
        </w:rPr>
        <w:t xml:space="preserve">new </w:t>
      </w:r>
      <w:r w:rsidR="00020D5C">
        <w:rPr>
          <w:rFonts w:ascii="Times New Roman" w:eastAsia="Times New Roman" w:hAnsi="Times New Roman" w:cs="Times New Roman"/>
          <w:color w:val="000000"/>
          <w:sz w:val="20"/>
          <w:szCs w:val="20"/>
        </w:rPr>
        <w:t xml:space="preserve">GASB standards </w:t>
      </w:r>
      <w:r w:rsidR="00F108BC">
        <w:rPr>
          <w:rFonts w:ascii="Times New Roman" w:eastAsia="Times New Roman" w:hAnsi="Times New Roman" w:cs="Times New Roman"/>
          <w:color w:val="000000"/>
          <w:sz w:val="20"/>
          <w:szCs w:val="20"/>
        </w:rPr>
        <w:t>will</w:t>
      </w:r>
      <w:r w:rsidR="00E418B4">
        <w:rPr>
          <w:rFonts w:ascii="Times New Roman" w:eastAsia="Times New Roman" w:hAnsi="Times New Roman" w:cs="Times New Roman"/>
          <w:color w:val="000000"/>
          <w:sz w:val="20"/>
          <w:szCs w:val="20"/>
        </w:rPr>
        <w:t xml:space="preserve"> </w:t>
      </w:r>
      <w:r w:rsidR="00020D5C">
        <w:rPr>
          <w:rFonts w:ascii="Times New Roman" w:eastAsia="Times New Roman" w:hAnsi="Times New Roman" w:cs="Times New Roman"/>
          <w:color w:val="000000"/>
          <w:sz w:val="20"/>
          <w:szCs w:val="20"/>
        </w:rPr>
        <w:t>improve the accountabilit</w:t>
      </w:r>
      <w:r w:rsidR="00F108BC">
        <w:rPr>
          <w:rFonts w:ascii="Times New Roman" w:eastAsia="Times New Roman" w:hAnsi="Times New Roman" w:cs="Times New Roman"/>
          <w:color w:val="000000"/>
          <w:sz w:val="20"/>
          <w:szCs w:val="20"/>
        </w:rPr>
        <w:t xml:space="preserve">y and transparency of </w:t>
      </w:r>
      <w:r w:rsidR="00E418B4">
        <w:rPr>
          <w:rFonts w:ascii="Times New Roman" w:eastAsia="Times New Roman" w:hAnsi="Times New Roman" w:cs="Times New Roman"/>
          <w:color w:val="000000"/>
          <w:sz w:val="20"/>
          <w:szCs w:val="20"/>
        </w:rPr>
        <w:t>report</w:t>
      </w:r>
      <w:r w:rsidR="00F108BC">
        <w:rPr>
          <w:rFonts w:ascii="Times New Roman" w:eastAsia="Times New Roman" w:hAnsi="Times New Roman" w:cs="Times New Roman"/>
          <w:color w:val="000000"/>
          <w:sz w:val="20"/>
          <w:szCs w:val="20"/>
        </w:rPr>
        <w:t>ing OPEB.  Governmental financial</w:t>
      </w:r>
      <w:r w:rsidR="00E418B4">
        <w:rPr>
          <w:rFonts w:ascii="Times New Roman" w:eastAsia="Times New Roman" w:hAnsi="Times New Roman" w:cs="Times New Roman"/>
          <w:color w:val="000000"/>
          <w:sz w:val="20"/>
          <w:szCs w:val="20"/>
        </w:rPr>
        <w:t xml:space="preserve"> statements will become more useful for future decision-making by policymakers, investors and other stakeholders.</w:t>
      </w:r>
    </w:p>
    <w:p w:rsidR="00AE0738" w:rsidRPr="0019750D" w:rsidRDefault="00AE0738" w:rsidP="00E418B4">
      <w:pPr>
        <w:autoSpaceDE w:val="0"/>
        <w:autoSpaceDN w:val="0"/>
        <w:adjustRightInd w:val="0"/>
        <w:spacing w:after="0" w:line="240" w:lineRule="auto"/>
        <w:jc w:val="both"/>
        <w:rPr>
          <w:rFonts w:ascii="Times New Roman" w:hAnsi="Times New Roman" w:cstheme="minorHAnsi"/>
          <w:sz w:val="20"/>
          <w:szCs w:val="20"/>
        </w:rPr>
      </w:pPr>
    </w:p>
    <w:p w:rsidR="00E44BAA" w:rsidRPr="00DC5875" w:rsidRDefault="00AE0738" w:rsidP="00AE0738">
      <w:pPr>
        <w:spacing w:line="240" w:lineRule="auto"/>
        <w:jc w:val="center"/>
        <w:rPr>
          <w:rFonts w:ascii="Times New Roman" w:hAnsi="Times New Roman" w:cstheme="minorHAnsi"/>
          <w:b/>
          <w:sz w:val="20"/>
          <w:szCs w:val="20"/>
        </w:rPr>
      </w:pPr>
      <w:r w:rsidRPr="00DC5875">
        <w:rPr>
          <w:rFonts w:ascii="Times New Roman" w:hAnsi="Times New Roman" w:cstheme="minorHAnsi"/>
          <w:b/>
          <w:sz w:val="20"/>
          <w:szCs w:val="20"/>
        </w:rPr>
        <w:t>REFERENCES</w:t>
      </w:r>
    </w:p>
    <w:p w:rsidR="00E44BAA" w:rsidRPr="00AE0738" w:rsidRDefault="00167C69" w:rsidP="00AE0738">
      <w:pPr>
        <w:spacing w:after="0" w:line="240" w:lineRule="auto"/>
        <w:rPr>
          <w:rFonts w:ascii="Times New Roman" w:hAnsi="Times New Roman" w:cs="Times New Roman"/>
          <w:sz w:val="16"/>
          <w:szCs w:val="16"/>
        </w:rPr>
      </w:pPr>
      <w:hyperlink r:id="rId7" w:history="1">
        <w:r w:rsidR="00E44BAA" w:rsidRPr="00AE0738">
          <w:rPr>
            <w:rStyle w:val="Hyperlink"/>
            <w:rFonts w:ascii="Times New Roman" w:hAnsi="Times New Roman" w:cs="Times New Roman"/>
            <w:sz w:val="16"/>
            <w:szCs w:val="16"/>
          </w:rPr>
          <w:t>http://www.gasb.org/cs/ContentServer?c=GASBContent_C&amp;pagename=GASB/GASBContent_C/GASBNewsPage&amp;cid=1176164081558</w:t>
        </w:r>
      </w:hyperlink>
    </w:p>
    <w:p w:rsidR="00E44BAA" w:rsidRPr="00AE0738" w:rsidRDefault="00167C69" w:rsidP="00AE0738">
      <w:pPr>
        <w:spacing w:after="0" w:line="240" w:lineRule="auto"/>
        <w:rPr>
          <w:rFonts w:ascii="Times New Roman" w:hAnsi="Times New Roman" w:cs="Times New Roman"/>
          <w:sz w:val="16"/>
          <w:szCs w:val="16"/>
        </w:rPr>
      </w:pPr>
      <w:hyperlink r:id="rId8" w:anchor="section_2" w:history="1">
        <w:r w:rsidR="00E44BAA" w:rsidRPr="00AE0738">
          <w:rPr>
            <w:rStyle w:val="Hyperlink"/>
            <w:rFonts w:ascii="Times New Roman" w:hAnsi="Times New Roman" w:cs="Times New Roman"/>
            <w:sz w:val="16"/>
            <w:szCs w:val="16"/>
          </w:rPr>
          <w:t>http://gasb.org/cs/ContentServer?c=Page&amp;pagename=GASB%2FPage%2FGASBBridgePage&amp;cid=1176164129754#section_2</w:t>
        </w:r>
      </w:hyperlink>
    </w:p>
    <w:p w:rsidR="00E44BAA" w:rsidRPr="00AE0738" w:rsidRDefault="00167C69" w:rsidP="00AE0738">
      <w:pPr>
        <w:spacing w:after="0" w:line="240" w:lineRule="auto"/>
        <w:rPr>
          <w:rFonts w:ascii="Times New Roman" w:eastAsia="Times New Roman" w:hAnsi="Times New Roman" w:cs="Times New Roman"/>
          <w:sz w:val="16"/>
          <w:szCs w:val="16"/>
        </w:rPr>
      </w:pPr>
      <w:hyperlink r:id="rId9" w:anchor="sthash.wRzCG9RX.dpuf" w:history="1">
        <w:r w:rsidR="00E44BAA" w:rsidRPr="00AE0738">
          <w:rPr>
            <w:rStyle w:val="Hyperlink"/>
            <w:rFonts w:ascii="Times New Roman" w:eastAsia="Times New Roman" w:hAnsi="Times New Roman" w:cs="Times New Roman"/>
            <w:sz w:val="16"/>
            <w:szCs w:val="16"/>
          </w:rPr>
          <w:t>http://www.icemiller.com/ice-on-fire-insights/publications/gasb-proposes-sweeping-changes-for-governments-to/#sthash.wRzCG9RX.dpuf</w:t>
        </w:r>
      </w:hyperlink>
    </w:p>
    <w:p w:rsidR="00E44BAA" w:rsidRPr="00AE0738" w:rsidRDefault="00167C69" w:rsidP="00AE0738">
      <w:pPr>
        <w:spacing w:after="0" w:line="240" w:lineRule="auto"/>
        <w:rPr>
          <w:rFonts w:ascii="Times New Roman" w:hAnsi="Times New Roman" w:cs="Times New Roman"/>
          <w:sz w:val="16"/>
          <w:szCs w:val="16"/>
        </w:rPr>
      </w:pPr>
      <w:hyperlink r:id="rId10" w:history="1">
        <w:r w:rsidR="00E44BAA" w:rsidRPr="00AE0738">
          <w:rPr>
            <w:rStyle w:val="Hyperlink"/>
            <w:rFonts w:ascii="Times New Roman" w:hAnsi="Times New Roman" w:cs="Times New Roman"/>
            <w:sz w:val="16"/>
            <w:szCs w:val="16"/>
          </w:rPr>
          <w:t>https://fmx.cpa.state.tx.us/fmx/pubs/afrrptreq/notes/index.php?menu=1&amp;section=note9&amp;page=gasb67</w:t>
        </w:r>
      </w:hyperlink>
    </w:p>
    <w:p w:rsidR="00E44BAA" w:rsidRPr="00AE0738" w:rsidRDefault="00167C69" w:rsidP="00AE0738">
      <w:pPr>
        <w:spacing w:after="0" w:line="240" w:lineRule="auto"/>
        <w:rPr>
          <w:rFonts w:ascii="Times New Roman" w:hAnsi="Times New Roman" w:cs="Times New Roman"/>
          <w:sz w:val="16"/>
          <w:szCs w:val="16"/>
        </w:rPr>
      </w:pPr>
      <w:hyperlink r:id="rId11" w:history="1">
        <w:r w:rsidR="00E44BAA" w:rsidRPr="00AE0738">
          <w:rPr>
            <w:rStyle w:val="Hyperlink"/>
            <w:rFonts w:ascii="Times New Roman" w:hAnsi="Times New Roman" w:cs="Times New Roman"/>
            <w:sz w:val="16"/>
            <w:szCs w:val="16"/>
          </w:rPr>
          <w:t>http://www.gfoaa.org/docs/GASB%2067%20%2068%20Presentation%20-%20D%20Scott.pdf</w:t>
        </w:r>
      </w:hyperlink>
    </w:p>
    <w:p w:rsidR="00E44BAA" w:rsidRPr="00AE0738" w:rsidRDefault="00E44BAA" w:rsidP="00AE0738">
      <w:pPr>
        <w:spacing w:after="0" w:line="240" w:lineRule="auto"/>
        <w:ind w:left="720" w:hanging="720"/>
        <w:contextualSpacing/>
        <w:rPr>
          <w:rFonts w:ascii="Times New Roman" w:eastAsia="Times New Roman" w:hAnsi="Times New Roman" w:cs="Times New Roman"/>
          <w:color w:val="000000"/>
          <w:sz w:val="16"/>
          <w:szCs w:val="16"/>
        </w:rPr>
      </w:pPr>
      <w:r w:rsidRPr="00AE0738">
        <w:rPr>
          <w:rFonts w:ascii="Times New Roman" w:eastAsia="Times New Roman" w:hAnsi="Times New Roman" w:cs="Times New Roman"/>
          <w:color w:val="000000"/>
          <w:sz w:val="16"/>
          <w:szCs w:val="16"/>
        </w:rPr>
        <w:t>Brown, Amy. “Focusing on Retiree Health Benefits.” Pars.org. March 27, 2014. Web 5 May 2014.</w:t>
      </w:r>
      <w:hyperlink r:id="rId12" w:history="1">
        <w:r w:rsidRPr="00AE0738">
          <w:rPr>
            <w:rStyle w:val="Hyperlink"/>
            <w:rFonts w:ascii="Times New Roman" w:eastAsia="Times New Roman" w:hAnsi="Times New Roman" w:cs="Times New Roman"/>
            <w:sz w:val="16"/>
            <w:szCs w:val="16"/>
          </w:rPr>
          <w:t>http://www.pars.org/2014/03/focusing-on-retiree-health-benefits/</w:t>
        </w:r>
      </w:hyperlink>
    </w:p>
    <w:p w:rsidR="003E1A6C" w:rsidRPr="00AE0738" w:rsidRDefault="00DF66E5" w:rsidP="00AE0738">
      <w:pPr>
        <w:spacing w:after="0" w:line="240" w:lineRule="auto"/>
        <w:ind w:left="720" w:hanging="720"/>
        <w:contextualSpacing/>
        <w:rPr>
          <w:rFonts w:ascii="Times New Roman" w:hAnsi="Times New Roman" w:cs="Times New Roman"/>
          <w:sz w:val="16"/>
          <w:szCs w:val="16"/>
        </w:rPr>
      </w:pPr>
      <w:r w:rsidRPr="00AE0738">
        <w:rPr>
          <w:rFonts w:ascii="Times New Roman" w:hAnsi="Times New Roman" w:cs="Times New Roman"/>
          <w:sz w:val="16"/>
          <w:szCs w:val="16"/>
        </w:rPr>
        <w:t xml:space="preserve">Eyre, Barry.  “OPEB Liability – Does it Matter?” KTPAdvisors.com.  May 1, 2013.  </w:t>
      </w:r>
      <w:r w:rsidR="003E1A6C" w:rsidRPr="00AE0738">
        <w:rPr>
          <w:rFonts w:ascii="Times New Roman" w:hAnsi="Times New Roman" w:cs="Times New Roman"/>
          <w:sz w:val="16"/>
          <w:szCs w:val="16"/>
        </w:rPr>
        <w:t xml:space="preserve">http:// </w:t>
      </w:r>
      <w:hyperlink r:id="rId13" w:history="1">
        <w:r w:rsidR="003E1A6C" w:rsidRPr="00AE0738">
          <w:rPr>
            <w:rStyle w:val="Hyperlink"/>
            <w:rFonts w:ascii="Times New Roman" w:hAnsi="Times New Roman" w:cs="Times New Roman"/>
            <w:sz w:val="16"/>
            <w:szCs w:val="16"/>
          </w:rPr>
          <w:t>http://www.ktpadvisors.com/wp-content/uploads/2013/01/OPEB-Liability-Does-it-Matter-FINAL-5.1.13.pdf</w:t>
        </w:r>
      </w:hyperlink>
      <w:r w:rsidR="003E1A6C" w:rsidRPr="00AE0738">
        <w:rPr>
          <w:rFonts w:ascii="Times New Roman" w:hAnsi="Times New Roman" w:cs="Times New Roman"/>
          <w:sz w:val="16"/>
          <w:szCs w:val="16"/>
        </w:rPr>
        <w:t>.</w:t>
      </w:r>
    </w:p>
    <w:p w:rsidR="003E1A6C" w:rsidRPr="00AE0738" w:rsidRDefault="00C26FC1" w:rsidP="00AE0738">
      <w:pPr>
        <w:spacing w:after="0" w:line="240" w:lineRule="auto"/>
        <w:ind w:left="720" w:hanging="720"/>
        <w:contextualSpacing/>
        <w:rPr>
          <w:rFonts w:ascii="Times New Roman" w:hAnsi="Times New Roman" w:cs="Times New Roman"/>
          <w:sz w:val="16"/>
          <w:szCs w:val="16"/>
        </w:rPr>
      </w:pPr>
      <w:r w:rsidRPr="00AE0738">
        <w:rPr>
          <w:rFonts w:ascii="Times New Roman" w:hAnsi="Times New Roman" w:cs="Times New Roman"/>
          <w:sz w:val="16"/>
          <w:szCs w:val="16"/>
        </w:rPr>
        <w:t>Cable, Roberta and Patricia Healy.  “Municipal Pension Accounting and Financial Reporting”.  The Business Review, Cambridge, 2011.</w:t>
      </w:r>
    </w:p>
    <w:p w:rsidR="00E44BAA" w:rsidRPr="00AE0738" w:rsidRDefault="00167C69" w:rsidP="00AE0738">
      <w:pPr>
        <w:spacing w:after="0" w:line="240" w:lineRule="auto"/>
        <w:contextualSpacing/>
        <w:rPr>
          <w:rFonts w:ascii="Times New Roman" w:eastAsia="Times New Roman" w:hAnsi="Times New Roman" w:cs="Times New Roman"/>
          <w:color w:val="000000"/>
          <w:sz w:val="16"/>
          <w:szCs w:val="16"/>
        </w:rPr>
      </w:pPr>
      <w:hyperlink r:id="rId14" w:history="1">
        <w:r w:rsidR="00E44BAA" w:rsidRPr="00AE0738">
          <w:rPr>
            <w:rStyle w:val="Hyperlink"/>
            <w:rFonts w:ascii="Times New Roman" w:eastAsia="Times New Roman" w:hAnsi="Times New Roman" w:cs="Times New Roman"/>
            <w:color w:val="000000"/>
            <w:sz w:val="16"/>
            <w:szCs w:val="16"/>
            <w:u w:val="none"/>
          </w:rPr>
          <w:t>Farmer, Liz</w:t>
        </w:r>
      </w:hyperlink>
      <w:r w:rsidR="00E44BAA" w:rsidRPr="00AE0738">
        <w:rPr>
          <w:rFonts w:ascii="Times New Roman" w:eastAsia="Times New Roman" w:hAnsi="Times New Roman" w:cs="Times New Roman"/>
          <w:color w:val="000000"/>
          <w:sz w:val="16"/>
          <w:szCs w:val="16"/>
        </w:rPr>
        <w:t xml:space="preserve">. “Retiree Health-Care Benefits: The Next Shoe to Drop?” governing.com. April 22, 2013. Web. 5 May 2014 </w:t>
      </w:r>
      <w:hyperlink r:id="rId15" w:anchor=".Urzs-oCzeeU.email" w:history="1">
        <w:r w:rsidR="00E44BAA" w:rsidRPr="00AE0738">
          <w:rPr>
            <w:rStyle w:val="Hyperlink"/>
            <w:rFonts w:ascii="Times New Roman" w:eastAsia="Times New Roman" w:hAnsi="Times New Roman" w:cs="Times New Roman"/>
            <w:sz w:val="16"/>
            <w:szCs w:val="16"/>
          </w:rPr>
          <w:t>http://www.governing.com/blogs/view/gov-retiree-healthcare-benefits--the-next-shoe-to-drop.html#.Urzs-oCzeeU.email</w:t>
        </w:r>
      </w:hyperlink>
    </w:p>
    <w:p w:rsidR="00E44BAA" w:rsidRPr="00AE0738" w:rsidRDefault="00E44BAA" w:rsidP="00AE0738">
      <w:pPr>
        <w:spacing w:after="0" w:line="240" w:lineRule="auto"/>
        <w:ind w:left="720" w:hanging="720"/>
        <w:contextualSpacing/>
        <w:rPr>
          <w:rFonts w:ascii="Times New Roman" w:eastAsia="Times New Roman" w:hAnsi="Times New Roman" w:cs="Times New Roman"/>
          <w:color w:val="000000"/>
          <w:sz w:val="16"/>
          <w:szCs w:val="16"/>
        </w:rPr>
      </w:pPr>
      <w:r w:rsidRPr="00AE0738">
        <w:rPr>
          <w:rFonts w:ascii="Times New Roman" w:eastAsia="Times New Roman" w:hAnsi="Times New Roman" w:cs="Times New Roman"/>
          <w:color w:val="000000"/>
          <w:sz w:val="16"/>
          <w:szCs w:val="16"/>
        </w:rPr>
        <w:t>GASB 45 OPEB: Other Post-Employment Benefits (OPEB) - Non-Pension Benefit Plans Americasveba.com. n.d. n.p. Web. 5 May 2014.</w:t>
      </w:r>
      <w:hyperlink r:id="rId16" w:history="1">
        <w:r w:rsidRPr="00AE0738">
          <w:rPr>
            <w:rStyle w:val="Hyperlink"/>
            <w:rFonts w:ascii="Times New Roman" w:eastAsia="Times New Roman" w:hAnsi="Times New Roman" w:cs="Times New Roman"/>
            <w:sz w:val="16"/>
            <w:szCs w:val="16"/>
          </w:rPr>
          <w:t>http://www.americasveba.com/GASB.asp</w:t>
        </w:r>
      </w:hyperlink>
    </w:p>
    <w:p w:rsidR="001A2CB8" w:rsidRDefault="001A2CB8" w:rsidP="00DC5875">
      <w:pPr>
        <w:spacing w:after="0" w:line="240" w:lineRule="auto"/>
        <w:ind w:left="720" w:hanging="720"/>
        <w:contextualSpacing/>
        <w:rPr>
          <w:rFonts w:ascii="Times New Roman" w:hAnsi="Times New Roman" w:cs="Times New Roman"/>
          <w:sz w:val="16"/>
          <w:szCs w:val="16"/>
        </w:rPr>
      </w:pPr>
      <w:r>
        <w:rPr>
          <w:rFonts w:ascii="Times New Roman" w:hAnsi="Times New Roman" w:cs="Times New Roman"/>
          <w:sz w:val="16"/>
          <w:szCs w:val="16"/>
        </w:rPr>
        <w:t>GASB.  “Other Postemployment Benefits:  A Plain-Language Summary of GASB Statement No. 43 and No. 45”. Governmental Accounting Standards Board, December 2004.</w:t>
      </w:r>
    </w:p>
    <w:p w:rsidR="00D20569" w:rsidRDefault="00D20569" w:rsidP="00DC5875">
      <w:pPr>
        <w:spacing w:after="0" w:line="240" w:lineRule="auto"/>
        <w:ind w:left="720" w:hanging="720"/>
        <w:contextualSpacing/>
        <w:rPr>
          <w:rFonts w:ascii="Times New Roman" w:hAnsi="Times New Roman" w:cs="Times New Roman"/>
          <w:sz w:val="16"/>
          <w:szCs w:val="16"/>
        </w:rPr>
      </w:pPr>
      <w:r>
        <w:rPr>
          <w:rFonts w:ascii="Times New Roman" w:hAnsi="Times New Roman" w:cs="Times New Roman"/>
          <w:sz w:val="16"/>
          <w:szCs w:val="16"/>
        </w:rPr>
        <w:t>GASB.  “GASB Proposes Major Improvements for Reporting Healther Insurance and Other Retiree Benefits”.  Governmental Accounting Standards Board, May 28, 2014.</w:t>
      </w:r>
    </w:p>
    <w:p w:rsidR="001A2CB8" w:rsidRDefault="001A2CB8" w:rsidP="00DC5875">
      <w:pPr>
        <w:spacing w:after="0" w:line="240" w:lineRule="auto"/>
        <w:ind w:left="720" w:hanging="720"/>
        <w:contextualSpacing/>
        <w:rPr>
          <w:rFonts w:ascii="Times New Roman" w:hAnsi="Times New Roman" w:cs="Times New Roman"/>
          <w:sz w:val="16"/>
          <w:szCs w:val="16"/>
        </w:rPr>
      </w:pPr>
      <w:r>
        <w:rPr>
          <w:rFonts w:ascii="Times New Roman" w:hAnsi="Times New Roman" w:cs="Times New Roman"/>
          <w:sz w:val="16"/>
          <w:szCs w:val="16"/>
        </w:rPr>
        <w:t>GASB.  “Summary of Statement No. 57”. Governmental Accounting Standards Board, December, 2009.</w:t>
      </w:r>
    </w:p>
    <w:p w:rsidR="00C3689A" w:rsidRPr="00DC5875" w:rsidRDefault="00C3689A" w:rsidP="00DC5875">
      <w:pPr>
        <w:spacing w:after="0" w:line="240" w:lineRule="auto"/>
        <w:ind w:left="720" w:hanging="720"/>
        <w:contextualSpacing/>
        <w:rPr>
          <w:rFonts w:ascii="Times New Roman" w:eastAsia="Times New Roman" w:hAnsi="Times New Roman" w:cs="Times New Roman"/>
          <w:color w:val="000000"/>
          <w:sz w:val="16"/>
          <w:szCs w:val="16"/>
        </w:rPr>
      </w:pPr>
      <w:r w:rsidRPr="00DC5875">
        <w:rPr>
          <w:rFonts w:ascii="Times New Roman" w:hAnsi="Times New Roman" w:cs="Times New Roman"/>
          <w:sz w:val="16"/>
          <w:szCs w:val="16"/>
        </w:rPr>
        <w:t xml:space="preserve">Gilroy, Leonard, </w:t>
      </w:r>
      <w:r w:rsidR="00DC5875">
        <w:rPr>
          <w:rFonts w:ascii="Times New Roman" w:hAnsi="Times New Roman" w:cs="Times New Roman"/>
          <w:sz w:val="16"/>
          <w:szCs w:val="16"/>
        </w:rPr>
        <w:t>“</w:t>
      </w:r>
      <w:r w:rsidRPr="00DC5875">
        <w:rPr>
          <w:rFonts w:ascii="Times New Roman" w:hAnsi="Times New Roman" w:cs="Times New Roman"/>
          <w:sz w:val="16"/>
          <w:szCs w:val="16"/>
        </w:rPr>
        <w:t>New Reports Highlight the Fiscal Shape of States,</w:t>
      </w:r>
      <w:r w:rsidR="00DC5875">
        <w:rPr>
          <w:rFonts w:ascii="Times New Roman" w:hAnsi="Times New Roman" w:cs="Times New Roman"/>
          <w:sz w:val="16"/>
          <w:szCs w:val="16"/>
        </w:rPr>
        <w:t>”</w:t>
      </w:r>
      <w:r w:rsidRPr="00DC5875">
        <w:rPr>
          <w:rFonts w:ascii="Times New Roman" w:hAnsi="Times New Roman" w:cs="Times New Roman"/>
          <w:sz w:val="16"/>
          <w:szCs w:val="16"/>
        </w:rPr>
        <w:t xml:space="preserve"> Reason.org</w:t>
      </w:r>
      <w:r w:rsidR="00DC5875">
        <w:rPr>
          <w:rFonts w:ascii="Times New Roman" w:eastAsia="Times New Roman" w:hAnsi="Times New Roman" w:cs="Times New Roman"/>
          <w:color w:val="000000"/>
          <w:sz w:val="16"/>
          <w:szCs w:val="16"/>
        </w:rPr>
        <w:t xml:space="preserve">, </w:t>
      </w:r>
      <w:r w:rsidRPr="00DC5875">
        <w:rPr>
          <w:rFonts w:ascii="Times New Roman" w:hAnsi="Times New Roman" w:cs="Times New Roman"/>
          <w:sz w:val="16"/>
          <w:szCs w:val="16"/>
        </w:rPr>
        <w:t xml:space="preserve">December 3, 2013 </w:t>
      </w:r>
    </w:p>
    <w:p w:rsidR="00E44BAA" w:rsidRPr="00AE0738" w:rsidRDefault="00E44BAA" w:rsidP="00AE0738">
      <w:pPr>
        <w:spacing w:after="0" w:line="240" w:lineRule="auto"/>
        <w:ind w:left="720" w:hanging="720"/>
        <w:contextualSpacing/>
        <w:rPr>
          <w:rFonts w:ascii="Times New Roman" w:eastAsia="Times New Roman" w:hAnsi="Times New Roman" w:cs="Times New Roman"/>
          <w:color w:val="000000"/>
          <w:sz w:val="16"/>
          <w:szCs w:val="16"/>
        </w:rPr>
      </w:pPr>
      <w:r w:rsidRPr="00AE0738">
        <w:rPr>
          <w:rFonts w:ascii="Times New Roman" w:eastAsia="Times New Roman" w:hAnsi="Times New Roman" w:cs="Times New Roman"/>
          <w:color w:val="000000"/>
          <w:sz w:val="16"/>
          <w:szCs w:val="16"/>
        </w:rPr>
        <w:t>OPEBs &amp; GASB 4</w:t>
      </w:r>
      <w:r w:rsidR="00C3689A" w:rsidRPr="00AE0738">
        <w:rPr>
          <w:rFonts w:ascii="Times New Roman" w:eastAsia="Times New Roman" w:hAnsi="Times New Roman" w:cs="Times New Roman"/>
          <w:color w:val="000000"/>
          <w:sz w:val="16"/>
          <w:szCs w:val="16"/>
        </w:rPr>
        <w:t>5: A Question and Answer Guide.</w:t>
      </w:r>
      <w:r w:rsidRPr="00AE0738">
        <w:rPr>
          <w:rFonts w:ascii="Times New Roman" w:eastAsia="Times New Roman" w:hAnsi="Times New Roman" w:cs="Times New Roman"/>
          <w:color w:val="000000"/>
          <w:sz w:val="16"/>
          <w:szCs w:val="16"/>
        </w:rPr>
        <w:t xml:space="preserve"> Treasurer.ca.gov. n.d. n.p. </w:t>
      </w:r>
      <w:hyperlink r:id="rId17" w:history="1">
        <w:r w:rsidRPr="00AE0738">
          <w:rPr>
            <w:rStyle w:val="Hyperlink"/>
            <w:rFonts w:ascii="Times New Roman" w:eastAsia="Times New Roman" w:hAnsi="Times New Roman" w:cs="Times New Roman"/>
            <w:sz w:val="16"/>
            <w:szCs w:val="16"/>
          </w:rPr>
          <w:t>http://www.treasurer.ca.gov/cdiac/publications/gasb45.pdf</w:t>
        </w:r>
      </w:hyperlink>
    </w:p>
    <w:p w:rsidR="00E44BAA" w:rsidRPr="00AE0738" w:rsidRDefault="00E44BAA" w:rsidP="00AE0738">
      <w:pPr>
        <w:spacing w:after="0" w:line="240" w:lineRule="auto"/>
        <w:ind w:left="720" w:hanging="720"/>
        <w:contextualSpacing/>
        <w:rPr>
          <w:rFonts w:ascii="Times New Roman" w:eastAsia="Times New Roman" w:hAnsi="Times New Roman" w:cs="Times New Roman"/>
          <w:color w:val="000000"/>
          <w:sz w:val="16"/>
          <w:szCs w:val="16"/>
        </w:rPr>
      </w:pPr>
      <w:r w:rsidRPr="00AE0738">
        <w:rPr>
          <w:rFonts w:ascii="Times New Roman" w:eastAsia="Times New Roman" w:hAnsi="Times New Roman" w:cs="Times New Roman"/>
          <w:color w:val="000000"/>
          <w:sz w:val="16"/>
          <w:szCs w:val="16"/>
        </w:rPr>
        <w:t xml:space="preserve">Sanford, Paula. “The Implementation of GASB 45: Case Studies of 15 Counties.” National Association of Counties. December 2007.  </w:t>
      </w:r>
    </w:p>
    <w:p w:rsidR="00CF47AC" w:rsidRPr="00AE0738" w:rsidRDefault="00CF47AC" w:rsidP="00AE0738">
      <w:pPr>
        <w:spacing w:after="0" w:line="240" w:lineRule="auto"/>
        <w:ind w:left="720" w:hanging="720"/>
        <w:contextualSpacing/>
        <w:rPr>
          <w:rFonts w:ascii="Times New Roman" w:eastAsia="Times New Roman" w:hAnsi="Times New Roman" w:cs="Times New Roman"/>
          <w:color w:val="000000"/>
          <w:sz w:val="16"/>
          <w:szCs w:val="16"/>
        </w:rPr>
      </w:pPr>
      <w:r w:rsidRPr="00AE0738">
        <w:rPr>
          <w:rFonts w:ascii="Times New Roman" w:eastAsia="Times New Roman" w:hAnsi="Times New Roman" w:cs="Times New Roman"/>
          <w:color w:val="000000"/>
          <w:sz w:val="16"/>
          <w:szCs w:val="16"/>
        </w:rPr>
        <w:t>Tysiac</w:t>
      </w:r>
      <w:r w:rsidR="00C3689A" w:rsidRPr="00AE0738">
        <w:rPr>
          <w:rFonts w:ascii="Times New Roman" w:eastAsia="Times New Roman" w:hAnsi="Times New Roman" w:cs="Times New Roman"/>
          <w:color w:val="000000"/>
          <w:sz w:val="16"/>
          <w:szCs w:val="16"/>
        </w:rPr>
        <w:t>, Ken</w:t>
      </w:r>
      <w:r w:rsidRPr="00AE0738">
        <w:rPr>
          <w:rFonts w:ascii="Times New Roman" w:eastAsia="Times New Roman" w:hAnsi="Times New Roman" w:cs="Times New Roman"/>
          <w:color w:val="000000"/>
          <w:sz w:val="16"/>
          <w:szCs w:val="16"/>
        </w:rPr>
        <w:t>, “GASB’s OPEB proposals may have big impact.” Journal of Accountancy, June 16, 2014</w:t>
      </w:r>
    </w:p>
    <w:p w:rsidR="00E44BAA" w:rsidRPr="00AE0738" w:rsidRDefault="00E44BAA" w:rsidP="00AE0738">
      <w:pPr>
        <w:autoSpaceDE w:val="0"/>
        <w:autoSpaceDN w:val="0"/>
        <w:adjustRightInd w:val="0"/>
        <w:spacing w:after="0" w:line="240" w:lineRule="auto"/>
        <w:contextualSpacing/>
        <w:rPr>
          <w:rFonts w:ascii="Times New Roman" w:eastAsia="Times New Roman" w:hAnsi="Times New Roman" w:cs="Times New Roman"/>
          <w:color w:val="000000"/>
          <w:sz w:val="16"/>
          <w:szCs w:val="16"/>
        </w:rPr>
      </w:pPr>
      <w:r w:rsidRPr="00AE0738">
        <w:rPr>
          <w:rFonts w:ascii="Times New Roman" w:eastAsia="Times New Roman" w:hAnsi="Times New Roman" w:cs="Times New Roman"/>
          <w:color w:val="000000"/>
          <w:sz w:val="16"/>
          <w:szCs w:val="16"/>
        </w:rPr>
        <w:t xml:space="preserve">Thoen, Frank and Daniel Wade. “Living With GASB 45: How to Manage Liabilities Associated With Retiree Medical Benefits.” Benefits Quarterly. 2008; 24 (1):39-45. </w:t>
      </w:r>
    </w:p>
    <w:p w:rsidR="00E44BAA" w:rsidRPr="00AE0738" w:rsidRDefault="00E44BAA" w:rsidP="00AE0738">
      <w:pPr>
        <w:spacing w:after="0" w:line="240" w:lineRule="auto"/>
        <w:ind w:left="720" w:hanging="720"/>
        <w:contextualSpacing/>
        <w:rPr>
          <w:rFonts w:ascii="Times New Roman" w:eastAsia="Times New Roman" w:hAnsi="Times New Roman" w:cs="Times New Roman"/>
          <w:color w:val="000000"/>
          <w:sz w:val="16"/>
          <w:szCs w:val="16"/>
        </w:rPr>
      </w:pPr>
      <w:r w:rsidRPr="00AE0738">
        <w:rPr>
          <w:rFonts w:ascii="Times New Roman" w:eastAsia="Times New Roman" w:hAnsi="Times New Roman" w:cs="Times New Roman"/>
          <w:color w:val="000000"/>
          <w:sz w:val="16"/>
          <w:szCs w:val="16"/>
        </w:rPr>
        <w:t xml:space="preserve">Zion, David and Amit Varshney. “You Dropped a Bomb on Me, GASB.” 22 March 2007. Americas/United States Equity Research Accounting &amp; Tax. </w:t>
      </w:r>
      <w:hyperlink r:id="rId18" w:history="1">
        <w:r w:rsidRPr="00AE0738">
          <w:rPr>
            <w:rStyle w:val="Hyperlink"/>
            <w:rFonts w:ascii="Times New Roman" w:eastAsia="Times New Roman" w:hAnsi="Times New Roman" w:cs="Times New Roman"/>
            <w:sz w:val="16"/>
            <w:szCs w:val="16"/>
          </w:rPr>
          <w:t>http://online.wsj.com/public/resources/documents/DroppedB.pdf</w:t>
        </w:r>
      </w:hyperlink>
    </w:p>
    <w:p w:rsidR="00E44BAA" w:rsidRPr="00AE0738" w:rsidRDefault="00E44BAA" w:rsidP="00AE0738">
      <w:pPr>
        <w:spacing w:after="0" w:line="240" w:lineRule="auto"/>
        <w:ind w:left="720" w:hanging="720"/>
        <w:contextualSpacing/>
        <w:rPr>
          <w:rFonts w:ascii="Times New Roman" w:eastAsia="Times New Roman" w:hAnsi="Times New Roman" w:cs="Times New Roman"/>
          <w:color w:val="000000"/>
          <w:sz w:val="16"/>
          <w:szCs w:val="16"/>
        </w:rPr>
      </w:pPr>
      <w:r w:rsidRPr="00AE0738">
        <w:rPr>
          <w:rFonts w:ascii="Times New Roman" w:eastAsia="Times New Roman" w:hAnsi="Times New Roman" w:cs="Times New Roman"/>
          <w:color w:val="000000"/>
          <w:sz w:val="16"/>
          <w:szCs w:val="16"/>
        </w:rPr>
        <w:t xml:space="preserve">“GASB Frequently Asked Questions.”EBCTPA.com. n.d. n.p. Web. 5 May 2014. </w:t>
      </w:r>
    </w:p>
    <w:p w:rsidR="00E44BAA" w:rsidRPr="00AE0738" w:rsidRDefault="00167C69" w:rsidP="00AE0738">
      <w:pPr>
        <w:spacing w:after="0" w:line="240" w:lineRule="auto"/>
        <w:ind w:left="720"/>
        <w:contextualSpacing/>
        <w:rPr>
          <w:rStyle w:val="Hyperlink"/>
        </w:rPr>
      </w:pPr>
      <w:hyperlink r:id="rId19" w:history="1">
        <w:r w:rsidR="00E44BAA" w:rsidRPr="00AE0738">
          <w:rPr>
            <w:rStyle w:val="Hyperlink"/>
            <w:rFonts w:ascii="Times New Roman" w:eastAsia="Times New Roman" w:hAnsi="Times New Roman" w:cs="Times New Roman"/>
            <w:sz w:val="16"/>
            <w:szCs w:val="16"/>
          </w:rPr>
          <w:t>http://www.ebctpa.com/default.aspx?pageid=gasbfaq</w:t>
        </w:r>
      </w:hyperlink>
    </w:p>
    <w:p w:rsidR="00E44BAA" w:rsidRPr="00AE0738" w:rsidRDefault="00167C69" w:rsidP="00AE0738">
      <w:pPr>
        <w:spacing w:after="0" w:line="240" w:lineRule="auto"/>
        <w:contextualSpacing/>
        <w:rPr>
          <w:rFonts w:ascii="Times New Roman" w:eastAsia="Times New Roman" w:hAnsi="Times New Roman" w:cs="Times New Roman"/>
          <w:b/>
          <w:color w:val="000000"/>
          <w:sz w:val="16"/>
          <w:szCs w:val="16"/>
        </w:rPr>
      </w:pPr>
      <w:hyperlink r:id="rId20" w:history="1">
        <w:r w:rsidR="004B5DF6" w:rsidRPr="00AE0738">
          <w:rPr>
            <w:rStyle w:val="Hyperlink"/>
            <w:rFonts w:ascii="Times New Roman" w:eastAsia="Times New Roman" w:hAnsi="Times New Roman" w:cs="Times New Roman"/>
            <w:b/>
            <w:sz w:val="16"/>
            <w:szCs w:val="16"/>
          </w:rPr>
          <w:t>http://pensionblog.com/2014/06/18/top-5-take-aways-from-the-gasb-opeb-accounting-exposure-draft/</w:t>
        </w:r>
      </w:hyperlink>
    </w:p>
    <w:p w:rsidR="004B5DF6" w:rsidRPr="00AE0738" w:rsidRDefault="00167C69" w:rsidP="00AE0738">
      <w:pPr>
        <w:spacing w:after="0" w:line="240" w:lineRule="auto"/>
        <w:contextualSpacing/>
        <w:rPr>
          <w:rFonts w:ascii="Times New Roman" w:eastAsia="Times New Roman" w:hAnsi="Times New Roman" w:cs="Times New Roman"/>
          <w:b/>
          <w:color w:val="000000"/>
          <w:sz w:val="16"/>
          <w:szCs w:val="16"/>
        </w:rPr>
      </w:pPr>
      <w:hyperlink r:id="rId21" w:tgtFrame="_blank" w:history="1">
        <w:r w:rsidR="004B5DF6" w:rsidRPr="00AE0738">
          <w:rPr>
            <w:rStyle w:val="Hyperlink"/>
            <w:rFonts w:ascii="Times New Roman" w:hAnsi="Times New Roman" w:cs="Times New Roman"/>
            <w:sz w:val="16"/>
            <w:szCs w:val="16"/>
          </w:rPr>
          <w:t>http://www.gasb.org/cs/ContentServer?c=GASBContent_C&amp;pagename=GASB%2FGASBContent_C%2FProjectPage&amp;cid=1176158482340</w:t>
        </w:r>
      </w:hyperlink>
      <w:r w:rsidR="004B5DF6" w:rsidRPr="00AE0738">
        <w:rPr>
          <w:rFonts w:ascii="Times New Roman" w:hAnsi="Times New Roman" w:cs="Times New Roman"/>
          <w:sz w:val="16"/>
          <w:szCs w:val="16"/>
        </w:rPr>
        <w:br/>
      </w:r>
      <w:hyperlink r:id="rId22" w:tgtFrame="_blank" w:history="1">
        <w:r w:rsidR="004B5DF6" w:rsidRPr="00AE0738">
          <w:rPr>
            <w:rStyle w:val="Hyperlink"/>
            <w:rFonts w:ascii="Times New Roman" w:hAnsi="Times New Roman" w:cs="Times New Roman"/>
            <w:sz w:val="16"/>
            <w:szCs w:val="16"/>
          </w:rPr>
          <w:t>http://www.gasb.org/cs/BlobServer?blobkey=id&amp;blobnocache=true&amp;blobwhere=1175828897160&amp;blobheader=application%2Fpdf&amp;blobheadername2=Content-Length&amp;blobheadername1=Content-Disposition&amp;blobheadervalue2=1433297&amp;blobheadervalue1=filename%3DED_-_Accounting_%2526_Financial_Rptg_for_Postemployment_Benefits_Other_Than_Pension_%2528Employer_ED%2529.pdf&amp;blobcol=urldata&amp;blobtable=MungoBlobs</w:t>
        </w:r>
      </w:hyperlink>
    </w:p>
    <w:p w:rsidR="00873A3C" w:rsidRPr="0019750D" w:rsidRDefault="00873A3C" w:rsidP="00AE0738">
      <w:pPr>
        <w:spacing w:line="240" w:lineRule="auto"/>
        <w:rPr>
          <w:rFonts w:ascii="Times New Roman" w:hAnsi="Times New Roman"/>
          <w:sz w:val="20"/>
          <w:szCs w:val="20"/>
        </w:rPr>
      </w:pPr>
    </w:p>
    <w:sectPr w:rsidR="00873A3C" w:rsidRPr="0019750D" w:rsidSect="00873A3C">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C69" w:rsidRDefault="00167C69" w:rsidP="00B95361">
      <w:pPr>
        <w:spacing w:after="0" w:line="240" w:lineRule="auto"/>
      </w:pPr>
      <w:r>
        <w:separator/>
      </w:r>
    </w:p>
  </w:endnote>
  <w:endnote w:type="continuationSeparator" w:id="0">
    <w:p w:rsidR="00167C69" w:rsidRDefault="00167C69" w:rsidP="00B9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621582"/>
      <w:docPartObj>
        <w:docPartGallery w:val="Page Numbers (Bottom of Page)"/>
        <w:docPartUnique/>
      </w:docPartObj>
    </w:sdtPr>
    <w:sdtEndPr>
      <w:rPr>
        <w:noProof/>
      </w:rPr>
    </w:sdtEndPr>
    <w:sdtContent>
      <w:p w:rsidR="00D75B33" w:rsidRDefault="00D75B33">
        <w:pPr>
          <w:pStyle w:val="Footer"/>
          <w:jc w:val="center"/>
        </w:pPr>
        <w:r>
          <w:fldChar w:fldCharType="begin"/>
        </w:r>
        <w:r>
          <w:instrText xml:space="preserve"> PAGE   \* MERGEFORMAT </w:instrText>
        </w:r>
        <w:r>
          <w:fldChar w:fldCharType="separate"/>
        </w:r>
        <w:r w:rsidR="002F1D05" w:rsidRPr="002F1D05">
          <w:rPr>
            <w:rFonts w:ascii="Times New Roman" w:hAnsi="Times New Roman" w:cs="Times New Roman"/>
            <w:noProof/>
            <w:sz w:val="20"/>
          </w:rPr>
          <w:t>2</w:t>
        </w:r>
        <w:r>
          <w:rPr>
            <w:rFonts w:ascii="Times New Roman" w:hAnsi="Times New Roman" w:cs="Times New Roman"/>
            <w:noProof/>
            <w:sz w:val="20"/>
          </w:rPr>
          <w:fldChar w:fldCharType="end"/>
        </w:r>
      </w:p>
    </w:sdtContent>
  </w:sdt>
  <w:p w:rsidR="00D75B33" w:rsidRDefault="00D75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C69" w:rsidRDefault="00167C69" w:rsidP="00B95361">
      <w:pPr>
        <w:spacing w:after="0" w:line="240" w:lineRule="auto"/>
      </w:pPr>
      <w:r>
        <w:separator/>
      </w:r>
    </w:p>
  </w:footnote>
  <w:footnote w:type="continuationSeparator" w:id="0">
    <w:p w:rsidR="00167C69" w:rsidRDefault="00167C69" w:rsidP="00B95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05855"/>
    <w:multiLevelType w:val="hybridMultilevel"/>
    <w:tmpl w:val="3FE0096C"/>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5490D5B"/>
    <w:multiLevelType w:val="multilevel"/>
    <w:tmpl w:val="1A4C3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C8775DC"/>
    <w:multiLevelType w:val="hybridMultilevel"/>
    <w:tmpl w:val="B074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52A6D"/>
    <w:multiLevelType w:val="hybridMultilevel"/>
    <w:tmpl w:val="6F92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E00B2"/>
    <w:multiLevelType w:val="multilevel"/>
    <w:tmpl w:val="D5D617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B70EE4"/>
    <w:multiLevelType w:val="hybridMultilevel"/>
    <w:tmpl w:val="745686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0C57A88"/>
    <w:multiLevelType w:val="hybridMultilevel"/>
    <w:tmpl w:val="8826B186"/>
    <w:lvl w:ilvl="0" w:tplc="68AC25B8">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103369"/>
    <w:multiLevelType w:val="hybridMultilevel"/>
    <w:tmpl w:val="745686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2E5F53"/>
    <w:multiLevelType w:val="multilevel"/>
    <w:tmpl w:val="561CE6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3A1553D"/>
    <w:multiLevelType w:val="multilevel"/>
    <w:tmpl w:val="96E42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893164C"/>
    <w:multiLevelType w:val="hybridMultilevel"/>
    <w:tmpl w:val="7F0A42F0"/>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D8F456A"/>
    <w:multiLevelType w:val="multilevel"/>
    <w:tmpl w:val="287A5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AA"/>
    <w:rsid w:val="0000130D"/>
    <w:rsid w:val="0000614F"/>
    <w:rsid w:val="000206B5"/>
    <w:rsid w:val="00020D5C"/>
    <w:rsid w:val="000248C5"/>
    <w:rsid w:val="00042C30"/>
    <w:rsid w:val="0006053B"/>
    <w:rsid w:val="0007018D"/>
    <w:rsid w:val="0008471C"/>
    <w:rsid w:val="00087619"/>
    <w:rsid w:val="000A0CF5"/>
    <w:rsid w:val="000B02B7"/>
    <w:rsid w:val="000B4EC8"/>
    <w:rsid w:val="000B587C"/>
    <w:rsid w:val="000E0A77"/>
    <w:rsid w:val="000F0C45"/>
    <w:rsid w:val="001018E6"/>
    <w:rsid w:val="00103CB1"/>
    <w:rsid w:val="00105FC8"/>
    <w:rsid w:val="00143AB2"/>
    <w:rsid w:val="00152ED8"/>
    <w:rsid w:val="001546B0"/>
    <w:rsid w:val="00167C69"/>
    <w:rsid w:val="001938DF"/>
    <w:rsid w:val="0019445A"/>
    <w:rsid w:val="0019750D"/>
    <w:rsid w:val="001A2CB8"/>
    <w:rsid w:val="001C1B57"/>
    <w:rsid w:val="00202629"/>
    <w:rsid w:val="0021222C"/>
    <w:rsid w:val="002148E7"/>
    <w:rsid w:val="00230CE4"/>
    <w:rsid w:val="00243B5B"/>
    <w:rsid w:val="00244EB5"/>
    <w:rsid w:val="00257D7E"/>
    <w:rsid w:val="0027727E"/>
    <w:rsid w:val="00282F5C"/>
    <w:rsid w:val="0028535C"/>
    <w:rsid w:val="002854BD"/>
    <w:rsid w:val="002B1E68"/>
    <w:rsid w:val="002C11EC"/>
    <w:rsid w:val="002E527B"/>
    <w:rsid w:val="002F1D05"/>
    <w:rsid w:val="00301D03"/>
    <w:rsid w:val="00332C62"/>
    <w:rsid w:val="003335F8"/>
    <w:rsid w:val="00353102"/>
    <w:rsid w:val="00361A79"/>
    <w:rsid w:val="00362068"/>
    <w:rsid w:val="00370D0B"/>
    <w:rsid w:val="00397394"/>
    <w:rsid w:val="003E1A6C"/>
    <w:rsid w:val="003F7325"/>
    <w:rsid w:val="00402313"/>
    <w:rsid w:val="00402425"/>
    <w:rsid w:val="00405577"/>
    <w:rsid w:val="00415DDE"/>
    <w:rsid w:val="00423DF1"/>
    <w:rsid w:val="004349C6"/>
    <w:rsid w:val="00452C76"/>
    <w:rsid w:val="004578A6"/>
    <w:rsid w:val="0046014F"/>
    <w:rsid w:val="00463990"/>
    <w:rsid w:val="00471521"/>
    <w:rsid w:val="004715A8"/>
    <w:rsid w:val="004731F1"/>
    <w:rsid w:val="00494ABC"/>
    <w:rsid w:val="004B5DF6"/>
    <w:rsid w:val="004D40FC"/>
    <w:rsid w:val="005024DE"/>
    <w:rsid w:val="00502D4F"/>
    <w:rsid w:val="00506479"/>
    <w:rsid w:val="00515BA5"/>
    <w:rsid w:val="00536C1D"/>
    <w:rsid w:val="00542343"/>
    <w:rsid w:val="00545B54"/>
    <w:rsid w:val="0055130F"/>
    <w:rsid w:val="00552FB8"/>
    <w:rsid w:val="00561B1F"/>
    <w:rsid w:val="00567D43"/>
    <w:rsid w:val="00570D97"/>
    <w:rsid w:val="005C0D07"/>
    <w:rsid w:val="005C6DCA"/>
    <w:rsid w:val="005E58F5"/>
    <w:rsid w:val="00612926"/>
    <w:rsid w:val="00615CCA"/>
    <w:rsid w:val="00623692"/>
    <w:rsid w:val="006333B3"/>
    <w:rsid w:val="00635566"/>
    <w:rsid w:val="00641A83"/>
    <w:rsid w:val="0064278D"/>
    <w:rsid w:val="006526AA"/>
    <w:rsid w:val="00671599"/>
    <w:rsid w:val="00690AA2"/>
    <w:rsid w:val="006B4AD9"/>
    <w:rsid w:val="006B6A6E"/>
    <w:rsid w:val="006C0AB7"/>
    <w:rsid w:val="006C1BD1"/>
    <w:rsid w:val="006D3CAF"/>
    <w:rsid w:val="006F62A6"/>
    <w:rsid w:val="00723FEE"/>
    <w:rsid w:val="0072494F"/>
    <w:rsid w:val="007645A4"/>
    <w:rsid w:val="007645FD"/>
    <w:rsid w:val="00775F96"/>
    <w:rsid w:val="007804A1"/>
    <w:rsid w:val="00793BBF"/>
    <w:rsid w:val="00795171"/>
    <w:rsid w:val="007B0F27"/>
    <w:rsid w:val="007B4863"/>
    <w:rsid w:val="007C283A"/>
    <w:rsid w:val="007C2931"/>
    <w:rsid w:val="007D5239"/>
    <w:rsid w:val="007F16BF"/>
    <w:rsid w:val="007F406E"/>
    <w:rsid w:val="00800874"/>
    <w:rsid w:val="00813526"/>
    <w:rsid w:val="00822311"/>
    <w:rsid w:val="00825098"/>
    <w:rsid w:val="00825630"/>
    <w:rsid w:val="008406F0"/>
    <w:rsid w:val="008425D5"/>
    <w:rsid w:val="00855825"/>
    <w:rsid w:val="00873A3C"/>
    <w:rsid w:val="008748C3"/>
    <w:rsid w:val="008749F5"/>
    <w:rsid w:val="00882EF2"/>
    <w:rsid w:val="00891A26"/>
    <w:rsid w:val="008C0C9F"/>
    <w:rsid w:val="008C4616"/>
    <w:rsid w:val="008D758B"/>
    <w:rsid w:val="008E68C3"/>
    <w:rsid w:val="008F03F6"/>
    <w:rsid w:val="00901512"/>
    <w:rsid w:val="00903B61"/>
    <w:rsid w:val="0090514E"/>
    <w:rsid w:val="00911AF5"/>
    <w:rsid w:val="00925289"/>
    <w:rsid w:val="009454E6"/>
    <w:rsid w:val="00973FB6"/>
    <w:rsid w:val="009915B4"/>
    <w:rsid w:val="009F16ED"/>
    <w:rsid w:val="009F6D42"/>
    <w:rsid w:val="00A1270D"/>
    <w:rsid w:val="00A15C5D"/>
    <w:rsid w:val="00A30A13"/>
    <w:rsid w:val="00A337EE"/>
    <w:rsid w:val="00A424AB"/>
    <w:rsid w:val="00A52349"/>
    <w:rsid w:val="00A65C3A"/>
    <w:rsid w:val="00A82F28"/>
    <w:rsid w:val="00A94E6A"/>
    <w:rsid w:val="00A95250"/>
    <w:rsid w:val="00AA00B0"/>
    <w:rsid w:val="00AA5C83"/>
    <w:rsid w:val="00AB64C1"/>
    <w:rsid w:val="00AD4A9F"/>
    <w:rsid w:val="00AE0738"/>
    <w:rsid w:val="00B113D9"/>
    <w:rsid w:val="00B14656"/>
    <w:rsid w:val="00B259B7"/>
    <w:rsid w:val="00B405DA"/>
    <w:rsid w:val="00B53D52"/>
    <w:rsid w:val="00B70626"/>
    <w:rsid w:val="00B95361"/>
    <w:rsid w:val="00B979FB"/>
    <w:rsid w:val="00BA7FE0"/>
    <w:rsid w:val="00BC6C5D"/>
    <w:rsid w:val="00BE4031"/>
    <w:rsid w:val="00C13BD1"/>
    <w:rsid w:val="00C2469C"/>
    <w:rsid w:val="00C26FC1"/>
    <w:rsid w:val="00C3171F"/>
    <w:rsid w:val="00C35082"/>
    <w:rsid w:val="00C3686C"/>
    <w:rsid w:val="00C3689A"/>
    <w:rsid w:val="00C4441D"/>
    <w:rsid w:val="00C51078"/>
    <w:rsid w:val="00C81531"/>
    <w:rsid w:val="00C8246E"/>
    <w:rsid w:val="00C8443A"/>
    <w:rsid w:val="00C8641A"/>
    <w:rsid w:val="00CA0763"/>
    <w:rsid w:val="00CC0A4C"/>
    <w:rsid w:val="00CF0207"/>
    <w:rsid w:val="00CF47AC"/>
    <w:rsid w:val="00D02EFF"/>
    <w:rsid w:val="00D0708D"/>
    <w:rsid w:val="00D20569"/>
    <w:rsid w:val="00D53D18"/>
    <w:rsid w:val="00D75B33"/>
    <w:rsid w:val="00D84316"/>
    <w:rsid w:val="00D847FB"/>
    <w:rsid w:val="00D86D13"/>
    <w:rsid w:val="00D908DE"/>
    <w:rsid w:val="00DB3FD8"/>
    <w:rsid w:val="00DB4A1F"/>
    <w:rsid w:val="00DC24A9"/>
    <w:rsid w:val="00DC5875"/>
    <w:rsid w:val="00DD78C3"/>
    <w:rsid w:val="00DF66E5"/>
    <w:rsid w:val="00E2032C"/>
    <w:rsid w:val="00E30408"/>
    <w:rsid w:val="00E418B4"/>
    <w:rsid w:val="00E42CC2"/>
    <w:rsid w:val="00E43DE2"/>
    <w:rsid w:val="00E44BAA"/>
    <w:rsid w:val="00E521A1"/>
    <w:rsid w:val="00E609DE"/>
    <w:rsid w:val="00E71AD4"/>
    <w:rsid w:val="00E95298"/>
    <w:rsid w:val="00EB2BBC"/>
    <w:rsid w:val="00EB5E98"/>
    <w:rsid w:val="00EB78B1"/>
    <w:rsid w:val="00EF6AF7"/>
    <w:rsid w:val="00F00DEC"/>
    <w:rsid w:val="00F108BC"/>
    <w:rsid w:val="00F26D40"/>
    <w:rsid w:val="00F37FFB"/>
    <w:rsid w:val="00F41300"/>
    <w:rsid w:val="00F525F9"/>
    <w:rsid w:val="00F60092"/>
    <w:rsid w:val="00F601BF"/>
    <w:rsid w:val="00F72894"/>
    <w:rsid w:val="00F7653C"/>
    <w:rsid w:val="00F84217"/>
    <w:rsid w:val="00F9545B"/>
    <w:rsid w:val="00FA51CB"/>
    <w:rsid w:val="00FC0C39"/>
    <w:rsid w:val="00FC2F13"/>
    <w:rsid w:val="00FC5DE3"/>
    <w:rsid w:val="00FC6765"/>
    <w:rsid w:val="00FC7E58"/>
    <w:rsid w:val="00FF3C13"/>
    <w:rsid w:val="00FF4F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5CB6D5E-6F10-4033-8E30-BFC6F16B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BA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4BAA"/>
    <w:rPr>
      <w:color w:val="0000FF"/>
      <w:u w:val="single"/>
    </w:rPr>
  </w:style>
  <w:style w:type="character" w:styleId="Emphasis">
    <w:name w:val="Emphasis"/>
    <w:basedOn w:val="DefaultParagraphFont"/>
    <w:qFormat/>
    <w:rsid w:val="00E44BAA"/>
    <w:rPr>
      <w:i/>
      <w:iCs/>
    </w:rPr>
  </w:style>
  <w:style w:type="character" w:styleId="Strong">
    <w:name w:val="Strong"/>
    <w:basedOn w:val="DefaultParagraphFont"/>
    <w:qFormat/>
    <w:rsid w:val="00E44BAA"/>
    <w:rPr>
      <w:b/>
      <w:bCs/>
    </w:rPr>
  </w:style>
  <w:style w:type="paragraph" w:styleId="ListParagraph">
    <w:name w:val="List Paragraph"/>
    <w:basedOn w:val="Normal"/>
    <w:qFormat/>
    <w:rsid w:val="00E44BAA"/>
    <w:pPr>
      <w:ind w:left="720"/>
      <w:contextualSpacing/>
    </w:pPr>
  </w:style>
  <w:style w:type="table" w:styleId="TableGrid">
    <w:name w:val="Table Grid"/>
    <w:basedOn w:val="TableNormal"/>
    <w:rsid w:val="00E44BAA"/>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44BAA"/>
    <w:rPr>
      <w:sz w:val="18"/>
      <w:szCs w:val="18"/>
    </w:rPr>
  </w:style>
  <w:style w:type="paragraph" w:styleId="CommentText">
    <w:name w:val="annotation text"/>
    <w:basedOn w:val="Normal"/>
    <w:link w:val="CommentTextChar"/>
    <w:uiPriority w:val="99"/>
    <w:semiHidden/>
    <w:unhideWhenUsed/>
    <w:rsid w:val="00E44BAA"/>
    <w:pPr>
      <w:spacing w:line="240" w:lineRule="auto"/>
    </w:pPr>
    <w:rPr>
      <w:sz w:val="24"/>
      <w:szCs w:val="24"/>
    </w:rPr>
  </w:style>
  <w:style w:type="character" w:customStyle="1" w:styleId="CommentTextChar">
    <w:name w:val="Comment Text Char"/>
    <w:basedOn w:val="DefaultParagraphFont"/>
    <w:link w:val="CommentText"/>
    <w:uiPriority w:val="99"/>
    <w:semiHidden/>
    <w:rsid w:val="00E44BAA"/>
    <w:rPr>
      <w:rFonts w:eastAsiaTheme="minorHAnsi"/>
    </w:rPr>
  </w:style>
  <w:style w:type="paragraph" w:styleId="CommentSubject">
    <w:name w:val="annotation subject"/>
    <w:basedOn w:val="CommentText"/>
    <w:next w:val="CommentText"/>
    <w:link w:val="CommentSubjectChar"/>
    <w:uiPriority w:val="99"/>
    <w:semiHidden/>
    <w:unhideWhenUsed/>
    <w:rsid w:val="00E44BAA"/>
    <w:rPr>
      <w:b/>
      <w:bCs/>
      <w:sz w:val="20"/>
      <w:szCs w:val="20"/>
    </w:rPr>
  </w:style>
  <w:style w:type="character" w:customStyle="1" w:styleId="CommentSubjectChar">
    <w:name w:val="Comment Subject Char"/>
    <w:basedOn w:val="CommentTextChar"/>
    <w:link w:val="CommentSubject"/>
    <w:uiPriority w:val="99"/>
    <w:semiHidden/>
    <w:rsid w:val="00E44BAA"/>
    <w:rPr>
      <w:rFonts w:eastAsiaTheme="minorHAnsi"/>
      <w:b/>
      <w:bCs/>
      <w:sz w:val="20"/>
      <w:szCs w:val="20"/>
    </w:rPr>
  </w:style>
  <w:style w:type="paragraph" w:styleId="BalloonText">
    <w:name w:val="Balloon Text"/>
    <w:basedOn w:val="Normal"/>
    <w:link w:val="BalloonTextChar"/>
    <w:uiPriority w:val="99"/>
    <w:semiHidden/>
    <w:unhideWhenUsed/>
    <w:rsid w:val="00E44B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BAA"/>
    <w:rPr>
      <w:rFonts w:ascii="Lucida Grande" w:eastAsiaTheme="minorHAnsi" w:hAnsi="Lucida Grande" w:cs="Lucida Grande"/>
      <w:sz w:val="18"/>
      <w:szCs w:val="18"/>
    </w:rPr>
  </w:style>
  <w:style w:type="paragraph" w:styleId="Revision">
    <w:name w:val="Revision"/>
    <w:hidden/>
    <w:uiPriority w:val="99"/>
    <w:semiHidden/>
    <w:rsid w:val="009454E6"/>
    <w:rPr>
      <w:rFonts w:eastAsiaTheme="minorHAnsi"/>
      <w:sz w:val="22"/>
      <w:szCs w:val="22"/>
    </w:rPr>
  </w:style>
  <w:style w:type="paragraph" w:customStyle="1" w:styleId="Text-Citation">
    <w:name w:val="Text - Citation"/>
    <w:rsid w:val="00C26FC1"/>
    <w:pPr>
      <w:autoSpaceDE w:val="0"/>
      <w:autoSpaceDN w:val="0"/>
      <w:adjustRightInd w:val="0"/>
      <w:ind w:left="1080" w:hanging="360"/>
    </w:pPr>
    <w:rPr>
      <w:rFonts w:ascii="Arial" w:eastAsia="Times New Roman" w:hAnsi="Arial" w:cs="Arial"/>
      <w:sz w:val="20"/>
      <w:szCs w:val="20"/>
    </w:rPr>
  </w:style>
  <w:style w:type="paragraph" w:styleId="Header">
    <w:name w:val="header"/>
    <w:basedOn w:val="Normal"/>
    <w:link w:val="HeaderChar"/>
    <w:uiPriority w:val="99"/>
    <w:unhideWhenUsed/>
    <w:rsid w:val="00B95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361"/>
    <w:rPr>
      <w:rFonts w:eastAsiaTheme="minorHAnsi"/>
      <w:sz w:val="22"/>
      <w:szCs w:val="22"/>
    </w:rPr>
  </w:style>
  <w:style w:type="paragraph" w:styleId="Footer">
    <w:name w:val="footer"/>
    <w:basedOn w:val="Normal"/>
    <w:link w:val="FooterChar"/>
    <w:uiPriority w:val="99"/>
    <w:unhideWhenUsed/>
    <w:rsid w:val="00B95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36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19718">
      <w:bodyDiv w:val="1"/>
      <w:marLeft w:val="0"/>
      <w:marRight w:val="0"/>
      <w:marTop w:val="0"/>
      <w:marBottom w:val="0"/>
      <w:divBdr>
        <w:top w:val="none" w:sz="0" w:space="0" w:color="auto"/>
        <w:left w:val="none" w:sz="0" w:space="0" w:color="auto"/>
        <w:bottom w:val="none" w:sz="0" w:space="0" w:color="auto"/>
        <w:right w:val="none" w:sz="0" w:space="0" w:color="auto"/>
      </w:divBdr>
    </w:div>
    <w:div w:id="285046469">
      <w:bodyDiv w:val="1"/>
      <w:marLeft w:val="0"/>
      <w:marRight w:val="0"/>
      <w:marTop w:val="0"/>
      <w:marBottom w:val="0"/>
      <w:divBdr>
        <w:top w:val="none" w:sz="0" w:space="0" w:color="auto"/>
        <w:left w:val="none" w:sz="0" w:space="0" w:color="auto"/>
        <w:bottom w:val="none" w:sz="0" w:space="0" w:color="auto"/>
        <w:right w:val="none" w:sz="0" w:space="0" w:color="auto"/>
      </w:divBdr>
    </w:div>
    <w:div w:id="575283469">
      <w:bodyDiv w:val="1"/>
      <w:marLeft w:val="0"/>
      <w:marRight w:val="0"/>
      <w:marTop w:val="0"/>
      <w:marBottom w:val="0"/>
      <w:divBdr>
        <w:top w:val="none" w:sz="0" w:space="0" w:color="auto"/>
        <w:left w:val="none" w:sz="0" w:space="0" w:color="auto"/>
        <w:bottom w:val="none" w:sz="0" w:space="0" w:color="auto"/>
        <w:right w:val="none" w:sz="0" w:space="0" w:color="auto"/>
      </w:divBdr>
    </w:div>
    <w:div w:id="1018434263">
      <w:bodyDiv w:val="1"/>
      <w:marLeft w:val="0"/>
      <w:marRight w:val="0"/>
      <w:marTop w:val="0"/>
      <w:marBottom w:val="0"/>
      <w:divBdr>
        <w:top w:val="none" w:sz="0" w:space="0" w:color="auto"/>
        <w:left w:val="none" w:sz="0" w:space="0" w:color="auto"/>
        <w:bottom w:val="none" w:sz="0" w:space="0" w:color="auto"/>
        <w:right w:val="none" w:sz="0" w:space="0" w:color="auto"/>
      </w:divBdr>
    </w:div>
    <w:div w:id="1201551556">
      <w:bodyDiv w:val="1"/>
      <w:marLeft w:val="0"/>
      <w:marRight w:val="0"/>
      <w:marTop w:val="0"/>
      <w:marBottom w:val="0"/>
      <w:divBdr>
        <w:top w:val="none" w:sz="0" w:space="0" w:color="auto"/>
        <w:left w:val="none" w:sz="0" w:space="0" w:color="auto"/>
        <w:bottom w:val="none" w:sz="0" w:space="0" w:color="auto"/>
        <w:right w:val="none" w:sz="0" w:space="0" w:color="auto"/>
      </w:divBdr>
    </w:div>
    <w:div w:id="1615941133">
      <w:bodyDiv w:val="1"/>
      <w:marLeft w:val="0"/>
      <w:marRight w:val="0"/>
      <w:marTop w:val="0"/>
      <w:marBottom w:val="0"/>
      <w:divBdr>
        <w:top w:val="none" w:sz="0" w:space="0" w:color="auto"/>
        <w:left w:val="none" w:sz="0" w:space="0" w:color="auto"/>
        <w:bottom w:val="none" w:sz="0" w:space="0" w:color="auto"/>
        <w:right w:val="none" w:sz="0" w:space="0" w:color="auto"/>
      </w:divBdr>
    </w:div>
    <w:div w:id="1706363666">
      <w:bodyDiv w:val="1"/>
      <w:marLeft w:val="0"/>
      <w:marRight w:val="0"/>
      <w:marTop w:val="0"/>
      <w:marBottom w:val="0"/>
      <w:divBdr>
        <w:top w:val="none" w:sz="0" w:space="0" w:color="auto"/>
        <w:left w:val="none" w:sz="0" w:space="0" w:color="auto"/>
        <w:bottom w:val="none" w:sz="0" w:space="0" w:color="auto"/>
        <w:right w:val="none" w:sz="0" w:space="0" w:color="auto"/>
      </w:divBdr>
    </w:div>
    <w:div w:id="1781949327">
      <w:bodyDiv w:val="1"/>
      <w:marLeft w:val="0"/>
      <w:marRight w:val="0"/>
      <w:marTop w:val="0"/>
      <w:marBottom w:val="0"/>
      <w:divBdr>
        <w:top w:val="none" w:sz="0" w:space="0" w:color="auto"/>
        <w:left w:val="none" w:sz="0" w:space="0" w:color="auto"/>
        <w:bottom w:val="none" w:sz="0" w:space="0" w:color="auto"/>
        <w:right w:val="none" w:sz="0" w:space="0" w:color="auto"/>
      </w:divBdr>
    </w:div>
    <w:div w:id="1814592464">
      <w:bodyDiv w:val="1"/>
      <w:marLeft w:val="0"/>
      <w:marRight w:val="0"/>
      <w:marTop w:val="0"/>
      <w:marBottom w:val="0"/>
      <w:divBdr>
        <w:top w:val="none" w:sz="0" w:space="0" w:color="auto"/>
        <w:left w:val="none" w:sz="0" w:space="0" w:color="auto"/>
        <w:bottom w:val="none" w:sz="0" w:space="0" w:color="auto"/>
        <w:right w:val="none" w:sz="0" w:space="0" w:color="auto"/>
      </w:divBdr>
    </w:div>
    <w:div w:id="1884705266">
      <w:bodyDiv w:val="1"/>
      <w:marLeft w:val="0"/>
      <w:marRight w:val="0"/>
      <w:marTop w:val="0"/>
      <w:marBottom w:val="0"/>
      <w:divBdr>
        <w:top w:val="none" w:sz="0" w:space="0" w:color="auto"/>
        <w:left w:val="none" w:sz="0" w:space="0" w:color="auto"/>
        <w:bottom w:val="none" w:sz="0" w:space="0" w:color="auto"/>
        <w:right w:val="none" w:sz="0" w:space="0" w:color="auto"/>
      </w:divBdr>
    </w:div>
    <w:div w:id="1998651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sb.org/cs/ContentServer?c=Page&amp;pagename=GASB%2FPage%2FGASBBridgePage&amp;cid=1176164129754" TargetMode="External"/><Relationship Id="rId13" Type="http://schemas.openxmlformats.org/officeDocument/2006/relationships/hyperlink" Target="http://www.ktpadvisors.com/wp-content/uploads/2013/01/OPEB-Liability-Does-it-Matter-FINAL-5.1.13.pdf" TargetMode="External"/><Relationship Id="rId18" Type="http://schemas.openxmlformats.org/officeDocument/2006/relationships/hyperlink" Target="http://online.wsj.com/public/resources/documents/DroppedB.pdf" TargetMode="External"/><Relationship Id="rId3" Type="http://schemas.openxmlformats.org/officeDocument/2006/relationships/settings" Target="settings.xml"/><Relationship Id="rId21" Type="http://schemas.openxmlformats.org/officeDocument/2006/relationships/hyperlink" Target="https://emailwst.pace.edu/owa/redir.aspx?C=bQohhHztRkGF0BTuc2L8F2fM6N5QedEIfHIceQcGcnZSKd0pN67zn9iStiove-IzJclTDa0coLk.&amp;URL=http%3a%2f%2fwww.gasb.org%2fcs%2fContentServer%3fc%3dGASBContent_C%26pagename%3dGASB%252FGASBContent_C%252FProjectPage%26cid%3d1176158482340" TargetMode="External"/><Relationship Id="rId7" Type="http://schemas.openxmlformats.org/officeDocument/2006/relationships/hyperlink" Target="http://www.gasb.org/cs/ContentServer?c=GASBContent_C&amp;pagename=GASB/GASBContent_C/GASBNewsPage&amp;cid=1176164081558" TargetMode="External"/><Relationship Id="rId12" Type="http://schemas.openxmlformats.org/officeDocument/2006/relationships/hyperlink" Target="http://www.pars.org/2014/03/focusing-on-retiree-health-benefits/" TargetMode="External"/><Relationship Id="rId17" Type="http://schemas.openxmlformats.org/officeDocument/2006/relationships/hyperlink" Target="http://www.treasurer.ca.gov/cdiac/publications/gasb45.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ericasveba.com/GASB.asp" TargetMode="External"/><Relationship Id="rId20" Type="http://schemas.openxmlformats.org/officeDocument/2006/relationships/hyperlink" Target="http://pensionblog.com/2014/06/18/top-5-take-aways-from-the-gasb-opeb-accounting-exposure-draf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foaa.org/docs/GASB%2067%20%2068%20Presentation%20-%20D%20Scott.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verning.com/blogs/view/gov-retiree-healthcare-benefits--the-next-shoe-to-drop.html" TargetMode="External"/><Relationship Id="rId23" Type="http://schemas.openxmlformats.org/officeDocument/2006/relationships/footer" Target="footer1.xml"/><Relationship Id="rId10" Type="http://schemas.openxmlformats.org/officeDocument/2006/relationships/hyperlink" Target="https://fmx.cpa.state.tx.us/fmx/pubs/afrrptreq/notes/index.php?menu=1&amp;section=note9&amp;page=gasb67" TargetMode="External"/><Relationship Id="rId19" Type="http://schemas.openxmlformats.org/officeDocument/2006/relationships/hyperlink" Target="http://www.ebctpa.com/default.aspx?pageid=gasbfaq" TargetMode="External"/><Relationship Id="rId4" Type="http://schemas.openxmlformats.org/officeDocument/2006/relationships/webSettings" Target="webSettings.xml"/><Relationship Id="rId9" Type="http://schemas.openxmlformats.org/officeDocument/2006/relationships/hyperlink" Target="http://www.icemiller.com/ice-on-fire-insights/publications/gasb-proposes-sweeping-changes-for-governments-to/" TargetMode="External"/><Relationship Id="rId14" Type="http://schemas.openxmlformats.org/officeDocument/2006/relationships/hyperlink" Target="http://www.governing.com/authors/Liz-Farmer.html" TargetMode="External"/><Relationship Id="rId22" Type="http://schemas.openxmlformats.org/officeDocument/2006/relationships/hyperlink" Target="https://emailwst.pace.edu/owa/redir.aspx?C=bQohhHztRkGF0BTuc2L8F2fM6N5QedEIfHIceQcGcnZSKd0pN67zn9iStiove-IzJclTDa0coLk.&amp;URL=http%3a%2f%2fwww.gasb.org%2fcs%2fBlobServer%3fblobkey%3did%26blobnocache%3dtrue%26blobwhere%3d1175828897160%26blobheader%3dapplication%252Fpdf%26blobheadername2%3dContent-Length%26blobheadername1%3dContent-Disposition%26blobheadervalue2%3d1433297%26blobheadervalue1%3dfilename%253DED_-_Accounting_%252526_Financial_Rptg_for_Postemployment_Benefits_Other_Than_Pension_%252528Employer_ED%252529.pdf%26blobcol%3durldata%26blobtable%3dMungoBl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6275</Words>
  <Characters>35773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41965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Li;ROBERTA  CABLE;Patricia Healy</dc:creator>
  <cp:keywords/>
  <dc:description/>
  <cp:lastModifiedBy>Li, Prof. Chunyan</cp:lastModifiedBy>
  <cp:revision>5</cp:revision>
  <dcterms:created xsi:type="dcterms:W3CDTF">2014-09-09T19:54:00Z</dcterms:created>
  <dcterms:modified xsi:type="dcterms:W3CDTF">2014-09-09T21:37:00Z</dcterms:modified>
</cp:coreProperties>
</file>